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w:t>
      </w:r>
    </w:p>
    <w:p>
      <w:pPr>
        <w:spacing w:after="0" w:line="600" w:lineRule="exact"/>
        <w:jc w:val="center"/>
        <w:rPr>
          <w:rFonts w:hint="eastAsia" w:asciiTheme="minorEastAsia" w:hAnsiTheme="minorEastAsia" w:eastAsiaTheme="minorEastAsia"/>
          <w:sz w:val="44"/>
          <w:szCs w:val="44"/>
          <w:lang w:eastAsia="zh-CN"/>
        </w:rPr>
      </w:pPr>
      <w:r>
        <w:rPr>
          <w:rFonts w:hint="eastAsia" w:asciiTheme="minorEastAsia" w:hAnsiTheme="minorEastAsia" w:eastAsiaTheme="minorEastAsia"/>
          <w:sz w:val="44"/>
          <w:szCs w:val="44"/>
          <w:lang w:eastAsia="zh-CN"/>
        </w:rPr>
        <w:t>铁岭市城市污水处理费征收管理办法</w:t>
      </w:r>
    </w:p>
    <w:p>
      <w:pPr>
        <w:spacing w:after="0" w:line="600" w:lineRule="exact"/>
        <w:jc w:val="center"/>
        <w:rPr>
          <w:rFonts w:ascii="楷体" w:hAnsi="楷体" w:eastAsia="楷体"/>
          <w:sz w:val="32"/>
          <w:szCs w:val="32"/>
        </w:rPr>
      </w:pPr>
      <w:r>
        <w:rPr>
          <w:rFonts w:hint="eastAsia" w:ascii="楷体" w:hAnsi="楷体" w:eastAsia="楷体"/>
          <w:sz w:val="32"/>
          <w:szCs w:val="32"/>
        </w:rPr>
        <w:t>(20</w:t>
      </w:r>
      <w:r>
        <w:rPr>
          <w:rFonts w:hint="eastAsia" w:ascii="楷体" w:hAnsi="楷体" w:eastAsia="楷体"/>
          <w:sz w:val="32"/>
          <w:szCs w:val="32"/>
          <w:lang w:val="en-US" w:eastAsia="zh-CN"/>
        </w:rPr>
        <w:t>23</w:t>
      </w:r>
      <w:r>
        <w:rPr>
          <w:rFonts w:hint="eastAsia" w:ascii="楷体" w:hAnsi="楷体" w:eastAsia="楷体"/>
          <w:sz w:val="32"/>
          <w:szCs w:val="32"/>
        </w:rPr>
        <w:t>年</w:t>
      </w:r>
      <w:r>
        <w:rPr>
          <w:rFonts w:hint="eastAsia" w:ascii="楷体" w:hAnsi="楷体" w:eastAsia="楷体"/>
          <w:sz w:val="32"/>
          <w:szCs w:val="32"/>
          <w:lang w:val="en-US" w:eastAsia="zh-CN"/>
        </w:rPr>
        <w:t>6</w:t>
      </w:r>
      <w:r>
        <w:rPr>
          <w:rFonts w:hint="eastAsia" w:ascii="楷体" w:hAnsi="楷体" w:eastAsia="楷体"/>
          <w:sz w:val="32"/>
          <w:szCs w:val="32"/>
        </w:rPr>
        <w:t>月</w:t>
      </w:r>
      <w:r>
        <w:rPr>
          <w:rFonts w:hint="eastAsia" w:ascii="楷体" w:hAnsi="楷体" w:eastAsia="楷体"/>
          <w:sz w:val="32"/>
          <w:szCs w:val="32"/>
          <w:lang w:val="en-US" w:eastAsia="zh-CN"/>
        </w:rPr>
        <w:t>8</w:t>
      </w:r>
      <w:r>
        <w:rPr>
          <w:rFonts w:hint="eastAsia" w:ascii="楷体" w:hAnsi="楷体" w:eastAsia="楷体"/>
          <w:sz w:val="32"/>
          <w:szCs w:val="32"/>
        </w:rPr>
        <w:t>日铁政办发〔2023〕</w:t>
      </w:r>
      <w:r>
        <w:rPr>
          <w:rFonts w:hint="eastAsia" w:ascii="楷体" w:hAnsi="楷体" w:eastAsia="楷体"/>
          <w:sz w:val="32"/>
          <w:szCs w:val="32"/>
          <w:lang w:val="en-US" w:eastAsia="zh-CN"/>
        </w:rPr>
        <w:t>11</w:t>
      </w:r>
      <w:r>
        <w:rPr>
          <w:rFonts w:hint="eastAsia" w:ascii="楷体" w:hAnsi="楷体" w:eastAsia="楷体"/>
          <w:sz w:val="32"/>
          <w:szCs w:val="32"/>
        </w:rPr>
        <w:t>号公布，自20</w:t>
      </w:r>
      <w:r>
        <w:rPr>
          <w:rFonts w:hint="eastAsia" w:ascii="楷体" w:hAnsi="楷体" w:eastAsia="楷体"/>
          <w:sz w:val="32"/>
          <w:szCs w:val="32"/>
          <w:lang w:val="en-US" w:eastAsia="zh-CN"/>
        </w:rPr>
        <w:t>23</w:t>
      </w:r>
      <w:r>
        <w:rPr>
          <w:rFonts w:hint="eastAsia" w:ascii="楷体" w:hAnsi="楷体" w:eastAsia="楷体"/>
          <w:sz w:val="32"/>
          <w:szCs w:val="32"/>
        </w:rPr>
        <w:t>年</w:t>
      </w:r>
      <w:r>
        <w:rPr>
          <w:rFonts w:hint="eastAsia" w:ascii="楷体" w:hAnsi="楷体" w:eastAsia="楷体"/>
          <w:sz w:val="32"/>
          <w:szCs w:val="32"/>
          <w:lang w:val="en-US" w:eastAsia="zh-CN"/>
        </w:rPr>
        <w:t>6</w:t>
      </w:r>
      <w:r>
        <w:rPr>
          <w:rFonts w:hint="eastAsia" w:ascii="楷体" w:hAnsi="楷体" w:eastAsia="楷体"/>
          <w:sz w:val="32"/>
          <w:szCs w:val="32"/>
        </w:rPr>
        <w:t>月</w:t>
      </w:r>
      <w:r>
        <w:rPr>
          <w:rFonts w:hint="eastAsia" w:ascii="楷体" w:hAnsi="楷体" w:eastAsia="楷体"/>
          <w:sz w:val="32"/>
          <w:szCs w:val="32"/>
          <w:lang w:val="en-US" w:eastAsia="zh-CN"/>
        </w:rPr>
        <w:t>8</w:t>
      </w:r>
      <w:r>
        <w:rPr>
          <w:rFonts w:hint="eastAsia" w:ascii="楷体" w:hAnsi="楷体" w:eastAsia="楷体"/>
          <w:sz w:val="32"/>
          <w:szCs w:val="32"/>
        </w:rPr>
        <w:t>日起施行)</w:t>
      </w:r>
    </w:p>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bookmarkStart w:id="0" w:name="_GoBack"/>
      <w:bookmarkEnd w:id="0"/>
      <w:r>
        <w:rPr>
          <w:rFonts w:hint="eastAsia" w:ascii="宋体" w:hAnsi="宋体" w:eastAsia="宋体" w:cs="宋体"/>
          <w:i w:val="0"/>
          <w:caps w:val="0"/>
          <w:color w:val="2B3F59"/>
          <w:spacing w:val="0"/>
          <w:sz w:val="31"/>
          <w:szCs w:val="31"/>
          <w:bdr w:val="none" w:color="auto" w:sz="0" w:space="0"/>
          <w:shd w:val="clear" w:fill="FFFFFF"/>
        </w:rPr>
        <w:t>　　</w:t>
      </w:r>
      <w:r>
        <w:rPr>
          <w:rFonts w:hint="eastAsia" w:ascii="黑体" w:hAnsi="黑体" w:eastAsia="黑体" w:cs="黑体"/>
          <w:b w:val="0"/>
          <w:bCs w:val="0"/>
          <w:snapToGrid w:val="0"/>
          <w:kern w:val="0"/>
          <w:sz w:val="32"/>
          <w:szCs w:val="32"/>
          <w:lang w:val="en-US" w:eastAsia="zh-CN" w:bidi="ar-SA"/>
        </w:rPr>
        <w:t>第一条</w:t>
      </w:r>
      <w:r>
        <w:rPr>
          <w:rFonts w:hint="eastAsia" w:ascii="仿宋_GB2312" w:hAnsi="仿宋_GB2312" w:eastAsia="仿宋_GB2312" w:cs="仿宋_GB2312"/>
          <w:b w:val="0"/>
          <w:bCs w:val="0"/>
          <w:snapToGrid w:val="0"/>
          <w:color w:val="auto"/>
          <w:kern w:val="0"/>
          <w:sz w:val="32"/>
          <w:szCs w:val="32"/>
          <w:lang w:val="en-US" w:eastAsia="zh-CN" w:bidi="ar-SA"/>
        </w:rPr>
        <w:t xml:space="preserve"> 为进一步加强城市污水处理费征收工作，确保城市污水处理厂的正常运营，根据《城镇排水与污水处理条例》（国务院令第641号）、《国家财政部、发展改革委、住房城乡建设部、关于印发〈污水处理费征收使用管理办法〉的通知》（财税〔2014〕151号）、《辽宁省城市污水处理费征收使用管理办法》（辽宁省人民政府令第235号）等有关规定，结合我市实际，制定本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第二条</w:t>
      </w:r>
      <w:r>
        <w:rPr>
          <w:rFonts w:hint="eastAsia" w:ascii="仿宋_GB2312" w:hAnsi="仿宋_GB2312" w:eastAsia="仿宋_GB2312" w:cs="仿宋_GB2312"/>
          <w:b w:val="0"/>
          <w:bCs w:val="0"/>
          <w:snapToGrid w:val="0"/>
          <w:color w:val="auto"/>
          <w:kern w:val="0"/>
          <w:sz w:val="32"/>
          <w:szCs w:val="32"/>
          <w:lang w:val="en-US" w:eastAsia="zh-CN" w:bidi="ar-SA"/>
        </w:rPr>
        <w:t xml:space="preserve"> 本办法适用于铁岭市本级和各县（市）区。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第三条</w:t>
      </w:r>
      <w:r>
        <w:rPr>
          <w:rFonts w:hint="eastAsia" w:ascii="仿宋_GB2312" w:hAnsi="仿宋_GB2312" w:eastAsia="仿宋_GB2312" w:cs="仿宋_GB2312"/>
          <w:b w:val="0"/>
          <w:bCs w:val="0"/>
          <w:snapToGrid w:val="0"/>
          <w:color w:val="auto"/>
          <w:kern w:val="0"/>
          <w:sz w:val="32"/>
          <w:szCs w:val="32"/>
          <w:lang w:val="en-US" w:eastAsia="zh-CN" w:bidi="ar-SA"/>
        </w:rPr>
        <w:t xml:space="preserve"> 市住房城乡建设局是全市城市污水处理费征收主管部门，并直接负责银州区、铁岭经济开发区、凡河新区的污水处理费征收工作。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其他县（市）区城乡建设行政主管部门负责本辖区内城市污水处理费征收工作。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发展改革、公安、财政、生态环境、住房城乡建设、水利、审计、税务、市场监督管理等部门，按照各自职责做好污水处理费征收、管理、监督工作。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第四条</w:t>
      </w:r>
      <w:r>
        <w:rPr>
          <w:rFonts w:hint="eastAsia" w:ascii="仿宋_GB2312" w:hAnsi="仿宋_GB2312" w:eastAsia="仿宋_GB2312" w:cs="仿宋_GB2312"/>
          <w:b w:val="0"/>
          <w:bCs w:val="0"/>
          <w:snapToGrid w:val="0"/>
          <w:color w:val="auto"/>
          <w:kern w:val="0"/>
          <w:sz w:val="32"/>
          <w:szCs w:val="32"/>
          <w:lang w:val="en-US" w:eastAsia="zh-CN" w:bidi="ar-SA"/>
        </w:rPr>
        <w:t xml:space="preserve"> 城市污水处理费属于政府非税收入，实行收支两条线，专项用于城镇污水集中处理设施的建设、运行和维护，任何单位和个人不得截留、挤占或挪用。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第五条</w:t>
      </w:r>
      <w:r>
        <w:rPr>
          <w:rFonts w:hint="eastAsia" w:ascii="仿宋_GB2312" w:hAnsi="仿宋_GB2312" w:eastAsia="仿宋_GB2312" w:cs="仿宋_GB2312"/>
          <w:b w:val="0"/>
          <w:bCs w:val="0"/>
          <w:snapToGrid w:val="0"/>
          <w:color w:val="auto"/>
          <w:kern w:val="0"/>
          <w:sz w:val="32"/>
          <w:szCs w:val="32"/>
          <w:lang w:val="en-US" w:eastAsia="zh-CN" w:bidi="ar-SA"/>
        </w:rPr>
        <w:t xml:space="preserve"> 污水处理费按照污染者付费原则，由排水单位和个人缴纳并专项用于城镇污水处理设施建设、运行和污泥处理处置的资金。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第六条</w:t>
      </w:r>
      <w:r>
        <w:rPr>
          <w:rFonts w:hint="eastAsia" w:ascii="仿宋_GB2312" w:hAnsi="仿宋_GB2312" w:eastAsia="仿宋_GB2312" w:cs="仿宋_GB2312"/>
          <w:b w:val="0"/>
          <w:bCs w:val="0"/>
          <w:snapToGrid w:val="0"/>
          <w:color w:val="auto"/>
          <w:kern w:val="0"/>
          <w:sz w:val="32"/>
          <w:szCs w:val="32"/>
          <w:lang w:val="en-US" w:eastAsia="zh-CN" w:bidi="ar-SA"/>
        </w:rPr>
        <w:t xml:space="preserve"> 凡在城市使用公共管网供水和自备水源（包括自备井）向城市污水集中处理设施（包括城市污水管网、污水处理厂等）排放污水的单位和个人，都要缴纳城市污水处理费，不再缴纳排污费、排水设施有偿使用费。对向城市污水集中处理设施排放污水超过国家或省规定排放标准的，继续征收污水超标准排污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第七条</w:t>
      </w:r>
      <w:r>
        <w:rPr>
          <w:rFonts w:hint="eastAsia" w:ascii="仿宋_GB2312" w:hAnsi="仿宋_GB2312" w:eastAsia="仿宋_GB2312" w:cs="仿宋_GB2312"/>
          <w:b w:val="0"/>
          <w:bCs w:val="0"/>
          <w:snapToGrid w:val="0"/>
          <w:color w:val="auto"/>
          <w:kern w:val="0"/>
          <w:sz w:val="32"/>
          <w:szCs w:val="32"/>
          <w:lang w:val="en-US" w:eastAsia="zh-CN" w:bidi="ar-SA"/>
        </w:rPr>
        <w:t xml:space="preserve">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第八条</w:t>
      </w:r>
      <w:r>
        <w:rPr>
          <w:rFonts w:hint="eastAsia" w:ascii="仿宋_GB2312" w:hAnsi="仿宋_GB2312" w:eastAsia="仿宋_GB2312" w:cs="仿宋_GB2312"/>
          <w:b w:val="0"/>
          <w:bCs w:val="0"/>
          <w:snapToGrid w:val="0"/>
          <w:color w:val="auto"/>
          <w:kern w:val="0"/>
          <w:sz w:val="32"/>
          <w:szCs w:val="32"/>
          <w:lang w:val="en-US" w:eastAsia="zh-CN" w:bidi="ar-SA"/>
        </w:rPr>
        <w:t xml:space="preserve"> 城市污水处理费按照用水量征收，计量方式如下：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使用自来水的单位和个人，其用水量按照水表显示的量值计算；使用自备水源的单位和个人，已安装水表的，其用水量按照水表显示的量值计算；未安装水表的，其用水量按照取水设施铭牌流量每日运转24小时计算。产品以水为主要原料的企业，按其用水量计征污水处理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建筑施工用水、建筑施工临时排水、基坑疏干排水，由建设单位或相关单位缴纳污水处理费。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建筑施工用水，根据主管部门批准的施工图建筑面积核定用水量，每平方米按1立方米计算，按照当地非居民标准征收城市污水处理费。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建筑施工临时排水、基坑疏干排水，根据水表显示的量值或排水设施铭牌流量每日运转24小时核定排水量，按照当地非居民标准减半征收城市污水处理费。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第九条</w:t>
      </w:r>
      <w:r>
        <w:rPr>
          <w:rFonts w:hint="eastAsia" w:ascii="仿宋_GB2312" w:hAnsi="仿宋_GB2312" w:eastAsia="仿宋_GB2312" w:cs="仿宋_GB2312"/>
          <w:b w:val="0"/>
          <w:bCs w:val="0"/>
          <w:snapToGrid w:val="0"/>
          <w:color w:val="auto"/>
          <w:kern w:val="0"/>
          <w:sz w:val="32"/>
          <w:szCs w:val="32"/>
          <w:lang w:val="en-US" w:eastAsia="zh-CN" w:bidi="ar-SA"/>
        </w:rPr>
        <w:t xml:space="preserve"> 城市污水处理费征收标准：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居民每立方米0.95元；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非居民每立方米1.60元；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特种行业（桑拿、洗浴、洗车、经营性游泳池、纯净水、矿泉水等高消费和高耗水行业）每立方米2.00元；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建筑施工用水按建筑面积每平方米1.60元；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建筑施工临时排水、基坑疏干排水每立方米0.80元。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第十条</w:t>
      </w:r>
      <w:r>
        <w:rPr>
          <w:rFonts w:hint="eastAsia" w:ascii="仿宋_GB2312" w:hAnsi="仿宋_GB2312" w:eastAsia="仿宋_GB2312" w:cs="仿宋_GB2312"/>
          <w:b w:val="0"/>
          <w:bCs w:val="0"/>
          <w:snapToGrid w:val="0"/>
          <w:color w:val="auto"/>
          <w:kern w:val="0"/>
          <w:sz w:val="32"/>
          <w:szCs w:val="32"/>
          <w:lang w:val="en-US" w:eastAsia="zh-CN" w:bidi="ar-SA"/>
        </w:rPr>
        <w:t xml:space="preserve"> 市住房城乡建设局根据供水、排水量及上年度实际征收情况，制定本年度污水处理费征收计划，并分解到各执收单位。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使用自来水的居民的污水处理费，委托城镇供水单位在收取水费时一并征收。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使用自来水或自备水源的单位（包括机关、事业单位、个体工商户）的污水处理费，由城市供水单位或水资源管理部门提供自备水源用户名单和用水量，由城乡建设行政主管部门或所属的收费管理机构征收。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第十一条</w:t>
      </w:r>
      <w:r>
        <w:rPr>
          <w:rFonts w:hint="eastAsia" w:ascii="仿宋_GB2312" w:hAnsi="仿宋_GB2312" w:eastAsia="仿宋_GB2312" w:cs="仿宋_GB2312"/>
          <w:b w:val="0"/>
          <w:bCs w:val="0"/>
          <w:snapToGrid w:val="0"/>
          <w:color w:val="auto"/>
          <w:kern w:val="0"/>
          <w:sz w:val="32"/>
          <w:szCs w:val="32"/>
          <w:lang w:val="en-US" w:eastAsia="zh-CN" w:bidi="ar-SA"/>
        </w:rPr>
        <w:t xml:space="preserve"> 代收单位应按月向城乡建设行政主管部门或所属的收费管理机构报送城市污水处理费征收月报表，报表内容应包括：用水量、应收额、实收额和具体欠缴单位明细表。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第十二条</w:t>
      </w:r>
      <w:r>
        <w:rPr>
          <w:rFonts w:hint="eastAsia" w:ascii="仿宋_GB2312" w:hAnsi="仿宋_GB2312" w:eastAsia="仿宋_GB2312" w:cs="仿宋_GB2312"/>
          <w:b w:val="0"/>
          <w:bCs w:val="0"/>
          <w:snapToGrid w:val="0"/>
          <w:color w:val="auto"/>
          <w:kern w:val="0"/>
          <w:sz w:val="32"/>
          <w:szCs w:val="32"/>
          <w:lang w:val="en-US" w:eastAsia="zh-CN" w:bidi="ar-SA"/>
        </w:rPr>
        <w:t xml:space="preserve"> 城市污水处理费代收单位可由城乡建设行政主管部门会同财政部门审核，共同确定，按实收额相应比例提取手续费，由城乡建设行政主管部门审核，财政部门核定后拨付。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第十三条</w:t>
      </w:r>
      <w:r>
        <w:rPr>
          <w:rFonts w:hint="eastAsia" w:ascii="仿宋_GB2312" w:hAnsi="仿宋_GB2312" w:eastAsia="仿宋_GB2312" w:cs="仿宋_GB2312"/>
          <w:b w:val="0"/>
          <w:bCs w:val="0"/>
          <w:snapToGrid w:val="0"/>
          <w:color w:val="auto"/>
          <w:kern w:val="0"/>
          <w:sz w:val="32"/>
          <w:szCs w:val="32"/>
          <w:lang w:val="en-US" w:eastAsia="zh-CN" w:bidi="ar-SA"/>
        </w:rPr>
        <w:t xml:space="preserve"> 对拒绝缴费的财政拨款单位，由同级财政部门从其应拨经费中扣缴。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第十四条</w:t>
      </w:r>
      <w:r>
        <w:rPr>
          <w:rFonts w:hint="eastAsia" w:ascii="仿宋_GB2312" w:hAnsi="仿宋_GB2312" w:eastAsia="仿宋_GB2312" w:cs="仿宋_GB2312"/>
          <w:b w:val="0"/>
          <w:bCs w:val="0"/>
          <w:snapToGrid w:val="0"/>
          <w:color w:val="auto"/>
          <w:kern w:val="0"/>
          <w:sz w:val="32"/>
          <w:szCs w:val="32"/>
          <w:lang w:val="en-US" w:eastAsia="zh-CN" w:bidi="ar-SA"/>
        </w:rPr>
        <w:t xml:space="preserve"> 违反本办法规定，排水单位或者个人不缴纳污水处理费的，由城乡建设行政主管部门责令限期缴纳，逾期拒不缴纳的，处应缴纳污水处理费数额1倍以上3倍以下罚款。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第十五条</w:t>
      </w:r>
      <w:r>
        <w:rPr>
          <w:rFonts w:hint="eastAsia" w:ascii="仿宋_GB2312" w:hAnsi="仿宋_GB2312" w:eastAsia="仿宋_GB2312" w:cs="仿宋_GB2312"/>
          <w:b w:val="0"/>
          <w:bCs w:val="0"/>
          <w:snapToGrid w:val="0"/>
          <w:color w:val="auto"/>
          <w:kern w:val="0"/>
          <w:sz w:val="32"/>
          <w:szCs w:val="32"/>
          <w:lang w:val="en-US" w:eastAsia="zh-CN" w:bidi="ar-SA"/>
        </w:rPr>
        <w:t xml:space="preserve"> 城镇排水主管部门应当将污水处理费的征收依据、征收主体、征收标准、征收程序、法律责任等进行公示。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城镇排水主管部门和财政部门应当每年向社会公布污水处理费的征收、使用情况。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第十六条</w:t>
      </w:r>
      <w:r>
        <w:rPr>
          <w:rFonts w:hint="eastAsia" w:ascii="仿宋_GB2312" w:hAnsi="仿宋_GB2312" w:eastAsia="仿宋_GB2312" w:cs="仿宋_GB2312"/>
          <w:b w:val="0"/>
          <w:bCs w:val="0"/>
          <w:snapToGrid w:val="0"/>
          <w:color w:val="auto"/>
          <w:kern w:val="0"/>
          <w:sz w:val="32"/>
          <w:szCs w:val="32"/>
          <w:lang w:val="en-US" w:eastAsia="zh-CN" w:bidi="ar-SA"/>
        </w:rPr>
        <w:t xml:space="preserve"> 城市污水处理费征收单位和代征单位应当使用省财政厅统一监制的收费收据，接受监督检查。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第十七条</w:t>
      </w:r>
      <w:r>
        <w:rPr>
          <w:rFonts w:hint="eastAsia" w:ascii="仿宋_GB2312" w:hAnsi="仿宋_GB2312" w:eastAsia="仿宋_GB2312" w:cs="仿宋_GB2312"/>
          <w:b w:val="0"/>
          <w:bCs w:val="0"/>
          <w:snapToGrid w:val="0"/>
          <w:color w:val="auto"/>
          <w:kern w:val="0"/>
          <w:sz w:val="32"/>
          <w:szCs w:val="32"/>
          <w:lang w:val="en-US" w:eastAsia="zh-CN" w:bidi="ar-SA"/>
        </w:rPr>
        <w:t xml:space="preserve"> 除国家和省明确规定外，任何单位和个人不得擅自减免城市污水处理费。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第十八条</w:t>
      </w:r>
      <w:r>
        <w:rPr>
          <w:rFonts w:hint="eastAsia" w:ascii="仿宋_GB2312" w:hAnsi="仿宋_GB2312" w:eastAsia="仿宋_GB2312" w:cs="仿宋_GB2312"/>
          <w:b w:val="0"/>
          <w:bCs w:val="0"/>
          <w:snapToGrid w:val="0"/>
          <w:color w:val="auto"/>
          <w:kern w:val="0"/>
          <w:sz w:val="32"/>
          <w:szCs w:val="32"/>
          <w:lang w:val="en-US" w:eastAsia="zh-CN" w:bidi="ar-SA"/>
        </w:rPr>
        <w:t xml:space="preserve"> 城市污水处理费按照国家有关规定免征增值税和所得税。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第十九条</w:t>
      </w:r>
      <w:r>
        <w:rPr>
          <w:rFonts w:hint="eastAsia" w:ascii="仿宋_GB2312" w:hAnsi="仿宋_GB2312" w:eastAsia="仿宋_GB2312" w:cs="仿宋_GB2312"/>
          <w:b w:val="0"/>
          <w:bCs w:val="0"/>
          <w:snapToGrid w:val="0"/>
          <w:color w:val="auto"/>
          <w:kern w:val="0"/>
          <w:sz w:val="32"/>
          <w:szCs w:val="32"/>
          <w:lang w:val="en-US" w:eastAsia="zh-CN" w:bidi="ar-SA"/>
        </w:rPr>
        <w:t xml:space="preserve"> 审计、财政、发展改革等有关部门要加强对城市污水处理费的征收、管理、使用等情况的依法监督。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第二十条</w:t>
      </w:r>
      <w:r>
        <w:rPr>
          <w:rFonts w:hint="eastAsia" w:ascii="仿宋_GB2312" w:hAnsi="仿宋_GB2312" w:eastAsia="仿宋_GB2312" w:cs="仿宋_GB2312"/>
          <w:b w:val="0"/>
          <w:bCs w:val="0"/>
          <w:snapToGrid w:val="0"/>
          <w:color w:val="auto"/>
          <w:kern w:val="0"/>
          <w:sz w:val="32"/>
          <w:szCs w:val="32"/>
          <w:lang w:val="en-US" w:eastAsia="zh-CN" w:bidi="ar-SA"/>
        </w:rPr>
        <w:t xml:space="preserve"> 城市污水处理费征收、代征单位及工作人员徇私舞弊的，依法给予行政处分；构成犯罪的，依法追究刑事责任。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第二十一条</w:t>
      </w:r>
      <w:r>
        <w:rPr>
          <w:rFonts w:hint="eastAsia" w:ascii="仿宋_GB2312" w:hAnsi="仿宋_GB2312" w:eastAsia="仿宋_GB2312" w:cs="仿宋_GB2312"/>
          <w:b w:val="0"/>
          <w:bCs w:val="0"/>
          <w:snapToGrid w:val="0"/>
          <w:color w:val="auto"/>
          <w:kern w:val="0"/>
          <w:sz w:val="32"/>
          <w:szCs w:val="32"/>
          <w:lang w:val="en-US" w:eastAsia="zh-CN" w:bidi="ar-SA"/>
        </w:rPr>
        <w:t xml:space="preserve"> 各县（市）区可参照本办法，依法制定城市污水处理费具体征收管理规定。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第二十二条</w:t>
      </w:r>
      <w:r>
        <w:rPr>
          <w:rFonts w:hint="eastAsia" w:ascii="仿宋_GB2312" w:hAnsi="仿宋_GB2312" w:eastAsia="仿宋_GB2312" w:cs="仿宋_GB2312"/>
          <w:b w:val="0"/>
          <w:bCs w:val="0"/>
          <w:snapToGrid w:val="0"/>
          <w:color w:val="auto"/>
          <w:kern w:val="0"/>
          <w:sz w:val="32"/>
          <w:szCs w:val="32"/>
          <w:lang w:val="en-US" w:eastAsia="zh-CN" w:bidi="ar-SA"/>
        </w:rPr>
        <w:t xml:space="preserve"> 本办法由市住房城乡建设局负责解释。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_GB2312" w:hAnsi="仿宋_GB2312" w:eastAsia="仿宋_GB2312" w:cs="仿宋_GB2312"/>
          <w:b w:val="0"/>
          <w:bCs w:val="0"/>
          <w:snapToGrid w:val="0"/>
          <w:color w:val="auto"/>
          <w:kern w:val="0"/>
          <w:sz w:val="32"/>
          <w:szCs w:val="32"/>
          <w:lang w:val="en-US" w:eastAsia="zh-CN" w:bidi="ar-SA"/>
        </w:rPr>
      </w:pPr>
      <w:r>
        <w:rPr>
          <w:rFonts w:hint="eastAsia" w:ascii="仿宋_GB2312" w:hAnsi="仿宋_GB2312" w:eastAsia="仿宋_GB2312" w:cs="仿宋_GB2312"/>
          <w:b w:val="0"/>
          <w:bCs w:val="0"/>
          <w:snapToGrid w:val="0"/>
          <w:color w:val="auto"/>
          <w:kern w:val="0"/>
          <w:sz w:val="32"/>
          <w:szCs w:val="32"/>
          <w:lang w:val="en-US" w:eastAsia="zh-CN" w:bidi="ar-SA"/>
        </w:rPr>
        <w:t>　　</w:t>
      </w:r>
      <w:r>
        <w:rPr>
          <w:rFonts w:hint="eastAsia" w:ascii="黑体" w:hAnsi="黑体" w:eastAsia="黑体" w:cs="黑体"/>
          <w:b w:val="0"/>
          <w:bCs w:val="0"/>
          <w:snapToGrid w:val="0"/>
          <w:kern w:val="0"/>
          <w:sz w:val="32"/>
          <w:szCs w:val="32"/>
          <w:lang w:val="en-US" w:eastAsia="zh-CN" w:bidi="ar-SA"/>
        </w:rPr>
        <w:t>第二十三条</w:t>
      </w:r>
      <w:r>
        <w:rPr>
          <w:rFonts w:hint="eastAsia" w:ascii="仿宋_GB2312" w:hAnsi="仿宋_GB2312" w:eastAsia="仿宋_GB2312" w:cs="仿宋_GB2312"/>
          <w:b w:val="0"/>
          <w:bCs w:val="0"/>
          <w:snapToGrid w:val="0"/>
          <w:color w:val="auto"/>
          <w:kern w:val="0"/>
          <w:sz w:val="32"/>
          <w:szCs w:val="32"/>
          <w:lang w:val="en-US" w:eastAsia="zh-CN" w:bidi="ar-SA"/>
        </w:rPr>
        <w:t xml:space="preserve"> 本办法自印发之日起施行，有效期5年。</w:t>
      </w:r>
    </w:p>
    <w:p>
      <w:pPr>
        <w:spacing w:after="0" w:line="360" w:lineRule="auto"/>
        <w:rPr>
          <w:rFonts w:ascii="仿宋" w:hAnsi="仿宋" w:eastAsia="仿宋"/>
          <w:sz w:val="32"/>
          <w:szCs w:val="32"/>
        </w:rPr>
      </w:pPr>
    </w:p>
    <w:sectPr>
      <w:headerReference r:id="rId3" w:type="default"/>
      <w:footerReference r:id="rId4" w:type="default"/>
      <w:pgSz w:w="11906" w:h="16838"/>
      <w:pgMar w:top="2098" w:right="1474" w:bottom="1985"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color w:val="1F497D" w:themeColor="text2"/>
        <w:sz w:val="32"/>
        <w:szCs w:val="32"/>
      </w:rPr>
    </w:pPr>
    <w:r>
      <w:rPr>
        <w:rFonts w:asciiTheme="minorEastAsia" w:hAnsiTheme="minorEastAsia" w:eastAsiaTheme="minorEastAsia"/>
        <w:color w:val="1F497D" w:themeColor="text2"/>
        <w:sz w:val="32"/>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-145415</wp:posOffset>
              </wp:positionV>
              <wp:extent cx="5585460" cy="0"/>
              <wp:effectExtent l="0" t="19050" r="15240" b="19050"/>
              <wp:wrapNone/>
              <wp:docPr id="1" name="自选图形 1"/>
              <wp:cNvGraphicFramePr/>
              <a:graphic xmlns:a="http://schemas.openxmlformats.org/drawingml/2006/main">
                <a:graphicData uri="http://schemas.microsoft.com/office/word/2010/wordprocessingShape">
                  <wps:wsp>
                    <wps:cNvCnPr/>
                    <wps:spPr>
                      <a:xfrm>
                        <a:off x="0" y="0"/>
                        <a:ext cx="5585460" cy="0"/>
                      </a:xfrm>
                      <a:prstGeom prst="straightConnector1">
                        <a:avLst/>
                      </a:prstGeom>
                      <a:ln w="38100" cap="flat" cmpd="sng">
                        <a:solidFill>
                          <a:srgbClr val="1F497D"/>
                        </a:solidFill>
                        <a:prstDash val="solid"/>
                        <a:headEnd type="none" w="med" len="med"/>
                        <a:tailEnd type="none" w="med" len="med"/>
                      </a:ln>
                    </wps:spPr>
                    <wps:bodyPr/>
                  </wps:wsp>
                </a:graphicData>
              </a:graphic>
            </wp:anchor>
          </w:drawing>
        </mc:Choice>
        <mc:Fallback>
          <w:pict>
            <v:shape id="自选图形 1" o:spid="_x0000_s1026" o:spt="32" type="#_x0000_t32" style="position:absolute;left:0pt;margin-left:0.4pt;margin-top:-11.45pt;height:0pt;width:439.8pt;z-index:251659264;mso-width-relative:page;mso-height-relative:page;" filled="f" stroked="t" coordsize="21600,21600" o:gfxdata="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F4U/bVAAAACAEAAA8AAAAA&#10;AAAAAQAgAAAAIgAAAGRycy9kb3ducmV2LnhtbFBLAQIUABQAAAAIAIdO4kCbtsw93gEAAJYDAAAO&#10;AAAAAAAAAAEAIAAAACQBAABkcnMvZTJvRG9jLnhtbFBLBQYAAAAABgAGAFkBAAB0BQAAAAA=&#10;">
              <v:fill on="f" focussize="0,0"/>
              <v:stroke weight="3pt" color="#1F497D" joinstyle="round"/>
              <v:imagedata o:title=""/>
              <o:lock v:ext="edit" aspectratio="f"/>
            </v:shape>
          </w:pict>
        </mc:Fallback>
      </mc:AlternateContent>
    </w:r>
    <w:r>
      <w:rPr>
        <w:rFonts w:hint="eastAsia" w:asciiTheme="minorEastAsia" w:hAnsiTheme="minorEastAsia" w:eastAsiaTheme="minorEastAsia"/>
        <w:color w:val="1F497D" w:themeColor="text2"/>
        <w:sz w:val="32"/>
        <w:szCs w:val="32"/>
      </w:rPr>
      <w:t>铁岭市人民政府发布</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Theme="majorEastAsia" w:hAnsiTheme="majorEastAsia" w:eastAsiaTheme="majorEastAsia"/>
        <w:sz w:val="32"/>
        <w:szCs w:val="32"/>
      </w:rPr>
    </w:pPr>
    <w:r>
      <w:rPr>
        <w:rFonts w:hint="eastAsia"/>
      </w:rPr>
      <w:drawing>
        <wp:inline distT="0" distB="0" distL="114300" distR="114300">
          <wp:extent cx="308610" cy="308610"/>
          <wp:effectExtent l="19050" t="0" r="0" b="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Theme="majorEastAsia" w:hAnsiTheme="majorEastAsia" w:eastAsiaTheme="majorEastAsia"/>
        <w:color w:val="1F497D" w:themeColor="text2"/>
        <w:sz w:val="32"/>
        <w:szCs w:val="32"/>
      </w:rPr>
      <w:t>铁岭市人民政府规章</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6"/>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2443AA"/>
    <w:rsid w:val="002F2273"/>
    <w:rsid w:val="00323B43"/>
    <w:rsid w:val="00350D9D"/>
    <w:rsid w:val="003D37D8"/>
    <w:rsid w:val="00424716"/>
    <w:rsid w:val="00426133"/>
    <w:rsid w:val="004358AB"/>
    <w:rsid w:val="004B0646"/>
    <w:rsid w:val="00514875"/>
    <w:rsid w:val="00563EC4"/>
    <w:rsid w:val="00660944"/>
    <w:rsid w:val="0068405C"/>
    <w:rsid w:val="00801C9C"/>
    <w:rsid w:val="008B7726"/>
    <w:rsid w:val="008C26FD"/>
    <w:rsid w:val="00982B91"/>
    <w:rsid w:val="009B1FB5"/>
    <w:rsid w:val="00BA3FC9"/>
    <w:rsid w:val="00BD0C37"/>
    <w:rsid w:val="00D31D50"/>
    <w:rsid w:val="00F91980"/>
    <w:rsid w:val="00FA137E"/>
    <w:rsid w:val="00FB5C51"/>
    <w:rsid w:val="091B1C04"/>
    <w:rsid w:val="0EF51970"/>
    <w:rsid w:val="3CD60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0"/>
    <w:pPr>
      <w:widowControl w:val="0"/>
      <w:adjustRightInd/>
      <w:snapToGrid/>
      <w:spacing w:after="0"/>
    </w:pPr>
    <w:rPr>
      <w:rFonts w:asciiTheme="minorHAnsi" w:hAnsiTheme="minorHAnsi" w:eastAsiaTheme="minorEastAsia"/>
      <w:kern w:val="2"/>
      <w:sz w:val="21"/>
      <w:szCs w:val="24"/>
    </w:rPr>
  </w:style>
  <w:style w:type="paragraph" w:styleId="4">
    <w:name w:val="Balloon Text"/>
    <w:basedOn w:val="1"/>
    <w:link w:val="13"/>
    <w:semiHidden/>
    <w:unhideWhenUsed/>
    <w:uiPriority w:val="99"/>
    <w:pPr>
      <w:spacing w:after="0"/>
    </w:pPr>
    <w:rPr>
      <w:sz w:val="18"/>
      <w:szCs w:val="18"/>
    </w:rPr>
  </w:style>
  <w:style w:type="paragraph" w:styleId="5">
    <w:name w:val="footer"/>
    <w:basedOn w:val="1"/>
    <w:link w:val="15"/>
    <w:unhideWhenUsed/>
    <w:uiPriority w:val="99"/>
    <w:pPr>
      <w:tabs>
        <w:tab w:val="center" w:pos="4153"/>
        <w:tab w:val="right" w:pos="8306"/>
      </w:tabs>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批注文字 Char"/>
    <w:basedOn w:val="9"/>
    <w:link w:val="3"/>
    <w:uiPriority w:val="0"/>
    <w:rPr>
      <w:rFonts w:eastAsiaTheme="minorEastAsia"/>
      <w:kern w:val="2"/>
      <w:sz w:val="21"/>
      <w:szCs w:val="24"/>
    </w:rPr>
  </w:style>
  <w:style w:type="character" w:customStyle="1" w:styleId="13">
    <w:name w:val="批注框文本 Char"/>
    <w:basedOn w:val="9"/>
    <w:link w:val="4"/>
    <w:semiHidden/>
    <w:uiPriority w:val="99"/>
    <w:rPr>
      <w:rFonts w:ascii="Tahoma" w:hAnsi="Tahoma"/>
      <w:sz w:val="18"/>
      <w:szCs w:val="18"/>
    </w:rPr>
  </w:style>
  <w:style w:type="character" w:customStyle="1" w:styleId="14">
    <w:name w:val="页眉 Char"/>
    <w:basedOn w:val="9"/>
    <w:link w:val="6"/>
    <w:uiPriority w:val="99"/>
    <w:rPr>
      <w:rFonts w:ascii="Tahoma" w:hAnsi="Tahoma"/>
      <w:sz w:val="18"/>
      <w:szCs w:val="18"/>
    </w:rPr>
  </w:style>
  <w:style w:type="character" w:customStyle="1" w:styleId="15">
    <w:name w:val="页脚 Char"/>
    <w:basedOn w:val="9"/>
    <w:link w:val="5"/>
    <w:qFormat/>
    <w:uiPriority w:val="99"/>
    <w:rPr>
      <w:rFonts w:ascii="Tahoma" w:hAnsi="Tahoma"/>
      <w:sz w:val="18"/>
      <w:szCs w:val="18"/>
    </w:rPr>
  </w:style>
  <w:style w:type="paragraph" w:customStyle="1" w:styleId="16">
    <w:name w:val="Other|1"/>
    <w:basedOn w:val="1"/>
    <w:qFormat/>
    <w:uiPriority w:val="0"/>
    <w:pPr>
      <w:widowControl w:val="0"/>
      <w:shd w:val="clear" w:color="auto" w:fill="auto"/>
      <w:spacing w:line="283" w:lineRule="auto"/>
    </w:pPr>
    <w:rPr>
      <w:rFonts w:ascii="宋体" w:hAnsi="宋体" w:eastAsia="宋体" w:cs="宋体"/>
      <w:color w:val="4C4C4C"/>
      <w:sz w:val="16"/>
      <w:szCs w:val="16"/>
      <w:u w:val="none"/>
      <w:shd w:val="clear" w:color="auto" w:fill="auto"/>
      <w:lang w:val="zh-TW" w:eastAsia="zh-TW" w:bidi="zh-TW"/>
    </w:rPr>
  </w:style>
  <w:style w:type="paragraph" w:customStyle="1" w:styleId="17">
    <w:name w:val="Header or footer|2"/>
    <w:basedOn w:val="1"/>
    <w:qFormat/>
    <w:uiPriority w:val="0"/>
    <w:pPr>
      <w:widowControl w:val="0"/>
      <w:shd w:val="clear" w:color="auto" w:fill="auto"/>
    </w:pPr>
    <w:rPr>
      <w:rFonts w:ascii="Times New Roman" w:hAnsi="Times New Roman" w:eastAsia="宋体" w:cs="Times New Roman"/>
      <w:sz w:val="20"/>
      <w:szCs w:val="20"/>
      <w:u w:val="non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ADAEC-BF18-4F23-B685-5041156E6407}">
  <ds:schemaRefs/>
</ds:datastoreItem>
</file>

<file path=docProps/app.xml><?xml version="1.0" encoding="utf-8"?>
<Properties xmlns="http://schemas.openxmlformats.org/officeDocument/2006/extended-properties" xmlns:vt="http://schemas.openxmlformats.org/officeDocument/2006/docPropsVTypes">
  <Template>Normal</Template>
  <Pages>5</Pages>
  <Words>2217</Words>
  <Characters>2267</Characters>
  <Lines>33</Lines>
  <Paragraphs>9</Paragraphs>
  <TotalTime>11</TotalTime>
  <ScaleCrop>false</ScaleCrop>
  <LinksUpToDate>false</LinksUpToDate>
  <CharactersWithSpaces>2366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2021-11-16T07:02:00Z</dcterms:created>
  <dc:creator>Administrator</dc:creator>
  <cp:lastModifiedBy>中年少女</cp:lastModifiedBy>
  <cp:lastPrinted>2021-11-09T03:35:00Z</cp:lastPrinted>
  <dcterms:modified xsi:type="dcterms:W3CDTF">2024-01-02T08:21:26Z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