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简体"/>
          <w:kern w:val="0"/>
          <w:sz w:val="32"/>
          <w:szCs w:val="32"/>
        </w:rPr>
      </w:pPr>
      <w:r>
        <w:rPr>
          <w:rFonts w:ascii="Times New Roman" w:hAnsi="Times New Roman" w:eastAsia="方正黑体简体"/>
          <w:kern w:val="0"/>
          <w:sz w:val="32"/>
          <w:szCs w:val="32"/>
        </w:rPr>
        <w:t>附件1</w:t>
      </w:r>
    </w:p>
    <w:p>
      <w:pPr>
        <w:spacing w:line="600" w:lineRule="exact"/>
        <w:jc w:val="center"/>
        <w:rPr>
          <w:rFonts w:ascii="Times New Roman" w:hAnsi="Times New Roman" w:eastAsia="方正仿宋简体"/>
          <w:kern w:val="0"/>
          <w:sz w:val="32"/>
          <w:szCs w:val="32"/>
        </w:rPr>
      </w:pPr>
      <w:bookmarkStart w:id="0" w:name="_GoBack"/>
      <w:r>
        <w:rPr>
          <w:rFonts w:ascii="Times New Roman" w:hAnsi="Times New Roman" w:eastAsia="方正小标宋简体"/>
          <w:kern w:val="0"/>
          <w:sz w:val="44"/>
          <w:szCs w:val="44"/>
        </w:rPr>
        <w:t>金属非金属地下矿山安全检查表</w:t>
      </w:r>
    </w:p>
    <w:bookmarkEnd w:id="0"/>
    <w:p>
      <w:pPr>
        <w:spacing w:line="600" w:lineRule="exact"/>
        <w:rPr>
          <w:rFonts w:hint="eastAsia" w:ascii="仿宋_GB2312" w:hAnsi="Times New Roman" w:eastAsia="仿宋_GB2312"/>
          <w:kern w:val="0"/>
          <w:sz w:val="32"/>
          <w:szCs w:val="32"/>
        </w:rPr>
      </w:pPr>
      <w:r>
        <w:rPr>
          <w:rFonts w:hint="eastAsia" w:ascii="仿宋_GB2312" w:hAnsi="Times New Roman" w:eastAsia="仿宋_GB2312"/>
          <w:kern w:val="0"/>
          <w:sz w:val="32"/>
          <w:szCs w:val="32"/>
        </w:rPr>
        <w:t>检查企业名称：                          检查时间：</w:t>
      </w:r>
    </w:p>
    <w:tbl>
      <w:tblPr>
        <w:tblStyle w:val="2"/>
        <w:tblW w:w="9615" w:type="dxa"/>
        <w:tblInd w:w="-236" w:type="dxa"/>
        <w:tblLayout w:type="fixed"/>
        <w:tblCellMar>
          <w:top w:w="15" w:type="dxa"/>
          <w:left w:w="15" w:type="dxa"/>
          <w:bottom w:w="15" w:type="dxa"/>
          <w:right w:w="15" w:type="dxa"/>
        </w:tblCellMar>
      </w:tblPr>
      <w:tblGrid>
        <w:gridCol w:w="564"/>
        <w:gridCol w:w="1324"/>
        <w:gridCol w:w="5529"/>
        <w:gridCol w:w="2198"/>
      </w:tblGrid>
      <w:tr>
        <w:tblPrEx>
          <w:tblCellMar>
            <w:top w:w="15" w:type="dxa"/>
            <w:left w:w="15" w:type="dxa"/>
            <w:bottom w:w="15" w:type="dxa"/>
            <w:right w:w="15" w:type="dxa"/>
          </w:tblCellMar>
        </w:tblPrEx>
        <w:trPr>
          <w:trHeight w:val="49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序号</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检查项目</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检查内容</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检查发现的隐患和问题</w:t>
            </w:r>
          </w:p>
        </w:tc>
      </w:tr>
      <w:tr>
        <w:tblPrEx>
          <w:tblCellMar>
            <w:top w:w="15" w:type="dxa"/>
            <w:left w:w="15" w:type="dxa"/>
            <w:bottom w:w="15" w:type="dxa"/>
            <w:right w:w="15" w:type="dxa"/>
          </w:tblCellMar>
        </w:tblPrEx>
        <w:trPr>
          <w:trHeight w:val="595"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1</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4"/>
                <w:szCs w:val="24"/>
              </w:rPr>
            </w:pPr>
            <w:r>
              <w:rPr>
                <w:rFonts w:hint="eastAsia" w:ascii="仿宋_GB2312" w:hAnsi="Times New Roman" w:eastAsia="仿宋_GB2312"/>
                <w:color w:val="000000"/>
                <w:kern w:val="0"/>
                <w:sz w:val="24"/>
                <w:szCs w:val="24"/>
                <w:lang w:bidi="ar"/>
              </w:rPr>
              <w:t>相关证照及内页资料</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各类证照是否齐全有效；</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sz w:val="24"/>
                <w:szCs w:val="24"/>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是否按批准的设计方案进行生产、建设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各类图纸是否齐全有效，安全档案管理是否规范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各项安全生产责任制、规章制度、操作规程是否健全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是否按规定要求建立安全、技术管理机构，配备安全管理人员、技术管理人员</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主要负责人、安全管理人员、特种作业人员是否按规定考核合格</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员工培训是否符合规定</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是否开展双重预防机制及安全标准化体系建设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外包工程管理是否规范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应急救援预案是否完善，是否按规定定期演练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是否足额提取和使用安全生产费用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是否贯彻执行领导带班下井制度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2"/>
                <w:lang w:bidi="ar"/>
              </w:rPr>
            </w:pPr>
          </w:p>
        </w:tc>
      </w:tr>
      <w:tr>
        <w:tblPrEx>
          <w:tblCellMar>
            <w:top w:w="15" w:type="dxa"/>
            <w:left w:w="15" w:type="dxa"/>
            <w:bottom w:w="15" w:type="dxa"/>
            <w:right w:w="15" w:type="dxa"/>
          </w:tblCellMar>
        </w:tblPrEx>
        <w:trPr>
          <w:trHeight w:val="1164"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2"/>
                <w:lang w:bidi="ar"/>
              </w:rPr>
              <w:t>2</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4"/>
                <w:szCs w:val="24"/>
                <w:lang w:bidi="ar"/>
              </w:rPr>
              <w:t>防范采空区坍塌事故措施落实情况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sz w:val="22"/>
              </w:rPr>
            </w:pPr>
            <w:r>
              <w:rPr>
                <w:rFonts w:hint="eastAsia" w:ascii="仿宋_GB2312" w:hAnsi="Times New Roman" w:eastAsia="仿宋_GB2312"/>
                <w:color w:val="000000"/>
                <w:kern w:val="0"/>
                <w:sz w:val="24"/>
                <w:szCs w:val="24"/>
                <w:lang w:bidi="ar"/>
              </w:rPr>
              <w:t>对矿区范围内采空区位置、体积、积水、形成时间、地质条件等情况是否清楚，是否绘制采空区现状图，采空区相关资料是否齐全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是否按照设计要求对生产形成的采空区进行处理</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相邻矿山开采错动线重叠的，是否按照设计要求采取相应措施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开采错动线以内存在居民村庄或存在重要设备设施的，是否按照设计要求采取相应措施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是否擅自开采各种保安矿柱或保安矿柱形式及参数劣于设计值</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2</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防范采空区坍塌事故措施落实情况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工程地质复杂、严重地压条件或开采深度超过800米的，是否建立地压监测系统，并严格执行采空区监测预报制度和定期巡查制度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31"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新建地下矿山未选用充填采矿法的，是否经过设计单位或专家论证并出具论证材料</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1113"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3</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防范火灾事故措施落实情况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是否严格执行动火作业审批制度，井下切割、焊接等动火作业是否制定安全措施，并经矿长签字批准后实施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705"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有自然发火危险的，是否按照国家标准、行业标准或设计采取防火措施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63"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井下是否存在吸烟，违规使用电器，违规使用电炉、灯泡等进行防潮、烘烤、做饭和取暖等行为。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井下油品是否单独存放在安全地点并严密封盖。</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井下消防设施是否完善，是否按照有关规定设置地面和井下消防设施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是否制定火灾事故现场处置方案，并定期进行演练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4</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防范透水事故措施落实情况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是否摸清矿区范围内的其他矿山、废弃矿井、老采空区，含水层、岩溶带等详细情况，掌握矿井水与地下水、地表水和大气降水的水力关系，并填绘矿区水文地质图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是否按照设计和规程要求建立排水系统，并确保排水系统完好可靠</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相邻矿山的井巷是否相互贯通；是否存在开采隔水矿柱等各类保安矿柱等违规行为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露天转地下开采，地表与井下形成贯通，是否按照设计要求采取相应措施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地表水系穿过矿区的，是否按照设计要求采取防治水措施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井口标高在当地历史最高洪水位1米以下的，是否采取相应防护措施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是否严格落实探放水制度，严格按照“预测预报、有疑必探、先探后掘、先治后采”的水害防治原则，落实“防、堵、疏、排、截”综合治理措施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水文地质类型为中等及复杂的，是否设立专门防治水机构、配备探放水作业队伍，配齐超前探放水等专用设备；水文地质类型复杂的，关键巷道防水门设置是否符合设计要求</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是否制定透水事故应急救援预案，配备必要的应急设备，并定期进行演练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5</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防范中毒窒息事故措施落实情况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安全出口是否符合国家标准、行业标准和设计要求；是否在井下主要通道明确标示避灾路线</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是否建立通风管理机构或配备专职通风技术人员和测风、测尘人员</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是否为从事井下作业的每个班组配备便携式气体检测报警仪；是否为每名入井人员配备自救器，并确保随身携带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是否按照设计要求建立机械通风系统，安装主要通风机，并设置风门、风桥等通风构筑物；是否及时封闭废弃井筒和巷道并设置明显的警示标志；风速、风量、风质是否符合国家和行业标准的要求</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主要通风机是否安装开停传感器和风压传感器，在回风巷是否设置风速传感器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矿井机械通风系统是否能实现反风，是否每年至少进行一次反风试验，并保留试验记录</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独头采掘工作面和通风不良的采场是否安装局部矿用通风机，是否存在无风、微风、循环风冒险作业现象</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是否定期对入井人员进行通风安全管理和防中毒窒息事故专题培训、开展防中毒窒息事故应急演练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6</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防范坠罐跑车事故措施落实情况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所有一级负荷是否采用双回路或双电源供电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提升运输设备是否取得矿用产品安全标志；是否违规使用带式制动器的提升绞车作为主提升设备</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是否存在超员、超载、超速提升人员行为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717"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罐笼、安全门、摇台（托台）、阻车器等是否与提升机信号实现连锁，提升信号是否与提升机控制闭锁</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提升矿车的斜井是否设置常闭式防跑车装置；斜井上部和中间车场是否设阻车器或挡车栏，斜井下部车场是否设躲避硐室，倾角大于10°的斜井是否设置轨道防滑装置</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斜井人车是否装设可靠的断绳保险器，每节车厢的断绳保险器是否相互连结，各节车厢之间除连接装置外是否还附挂保险链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911" w:hRule="atLeast"/>
        </w:trPr>
        <w:tc>
          <w:tcPr>
            <w:tcW w:w="564"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斜坡道运输是否采用湿式制动的无轨胶轮车替换干式制动的或者改装的车辆运输人员、炸药、油料</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提升机、提升绞车、罐笼、防坠器、斜井人车、斜井跑车防护装置、提升钢丝绳等主要提升装置，是否由具有安全生产检测检验资质的机构定期进行检测检验</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6</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防范坠罐跑车事故措施落实情况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是否将乘载人数30人及以上的提升罐笼每半年一次的钢丝绳检验报告（平衡用钢丝绳和摩擦式提升机的提升用钢丝绳除外）和每年一次的提升系统检测报告报送属地应急管理部门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90"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2"/>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是否严格按照要求加强提升运输设备维护保养，建立健全设备档案管理</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Times New Roman" w:eastAsia="仿宋_GB2312"/>
                <w:color w:val="000000"/>
                <w:sz w:val="20"/>
                <w:szCs w:val="20"/>
              </w:rPr>
            </w:pPr>
          </w:p>
        </w:tc>
      </w:tr>
      <w:tr>
        <w:tblPrEx>
          <w:tblCellMar>
            <w:top w:w="15" w:type="dxa"/>
            <w:left w:w="15" w:type="dxa"/>
            <w:bottom w:w="15" w:type="dxa"/>
            <w:right w:w="15" w:type="dxa"/>
          </w:tblCellMar>
        </w:tblPrEx>
        <w:trPr>
          <w:trHeight w:val="529" w:hRule="atLeast"/>
        </w:trPr>
        <w:tc>
          <w:tcPr>
            <w:tcW w:w="564"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7</w:t>
            </w:r>
          </w:p>
        </w:tc>
        <w:tc>
          <w:tcPr>
            <w:tcW w:w="1324"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淘汰落后工艺与设备情况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按照原国家安全监管总局《金属非金属矿山禁止使用的设备及工艺目录（第一批）》（安监总管一〔2013〕101号）、《金属非金属矿山禁止使用的设备及工艺目录（第二批）》（安监总管一〔2015〕13号）要求，强制淘汰采用干式制动的无轨胶轮车或者改装车辆运输人员、炸药、油料等28项落后工艺及设备。</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8</w:t>
            </w:r>
          </w:p>
        </w:tc>
        <w:tc>
          <w:tcPr>
            <w:tcW w:w="1324"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基建矿山安全管理措施落实情况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建设项目“三同时”手续是否完备；是否存在未批先建、不按设计建设施工等违法违规行为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设计、施工、监理单位是否具备相应资质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是否压缩工期，编制的进度计划是否符合实际情况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建设单位是否组织设计、施工、监理单位进行工程技术交底</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施工单位是否编制施工组织设计，并报监理单位审核；现场人员、设备、设施等是否与施工组织设计一致；是否严格按施工组织设计进行施工</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施工单位是否存在将采掘工程违法分包或者转包的行为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施工单位是否设立安全生产管理机构、配备专职安全生产管理人员；是否建立隐患排查治理制度；是否严格落实领导带班下井制度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施工单位是否编制应急救援预案，并定期进行演练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施工单位是否按照施工组织设计方案进行通风，独头掘进工作面的风质风量是否满足要求；在通风和排水系统形成前，是否进行其他掘进作业</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监理单位是否对施工组织设计中的安全技术措施或者专项施工方案进行审查；是否编制监理规划；现场人员、设备、设施等是否与监理规划一致</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657" w:hRule="atLeast"/>
        </w:trPr>
        <w:tc>
          <w:tcPr>
            <w:tcW w:w="564"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9</w:t>
            </w:r>
          </w:p>
        </w:tc>
        <w:tc>
          <w:tcPr>
            <w:tcW w:w="1324"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生产矿山采掘施工单位安全管理措施落实情况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矿山企业是否与采掘施工单位签订安全管理协议</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矿山企业是否把所有采掘施工单位纳入统一安全管理，是否定期对采掘施工队伍安全管理工作进行检查，是否存在以包代管、包而不管的情况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9</w:t>
            </w:r>
          </w:p>
        </w:tc>
        <w:tc>
          <w:tcPr>
            <w:tcW w:w="13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生产矿山采掘施工单位安全管理措施落实情况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矿山企业应急救援方案是否与各个采掘施工单位应急救援预案有效衔接，是否定期组织包括采掘施工单位的联合应急演练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采掘施工单位是否按照要求对从业人员进行安全培训；矿山企业是否对采掘施工单位从业人员统一组织安全培训</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采掘施工单位“三项岗位”人员是否持证上岗</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r>
        <w:tblPrEx>
          <w:tblCellMar>
            <w:top w:w="15" w:type="dxa"/>
            <w:left w:w="15" w:type="dxa"/>
            <w:bottom w:w="15" w:type="dxa"/>
            <w:right w:w="15" w:type="dxa"/>
          </w:tblCellMar>
        </w:tblPrEx>
        <w:trPr>
          <w:trHeight w:val="529"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r>
              <w:rPr>
                <w:rFonts w:hint="eastAsia" w:ascii="仿宋_GB2312" w:hAnsi="Times New Roman" w:eastAsia="仿宋_GB2312"/>
                <w:color w:val="000000"/>
                <w:kern w:val="0"/>
                <w:sz w:val="24"/>
                <w:szCs w:val="24"/>
                <w:lang w:bidi="ar"/>
              </w:rPr>
              <w:t>采掘施工单位是否为从事井下作业的每个班组配备便携式多功能气体检测报警仪；是否为每名入井人员配备自救器，并确保随身携带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Times New Roman" w:eastAsia="仿宋_GB2312"/>
                <w:color w:val="000000"/>
                <w:kern w:val="0"/>
                <w:sz w:val="24"/>
                <w:szCs w:val="24"/>
                <w:lang w:bidi="ar"/>
              </w:rPr>
            </w:pPr>
          </w:p>
        </w:tc>
      </w:tr>
    </w:tbl>
    <w:p>
      <w:pPr>
        <w:spacing w:line="600" w:lineRule="exact"/>
        <w:rPr>
          <w:rFonts w:ascii="Times New Roman" w:hAnsi="Times New Roman" w:eastAsia="方正黑体简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Tc4ZDA1ZmEwZDI1NGQ4N2E2YWU3MzE3NDBmYWQifQ=="/>
  </w:docVars>
  <w:rsids>
    <w:rsidRoot w:val="03570801"/>
    <w:rsid w:val="0357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2022-11-10T01:49:00Z</dcterms:created>
  <dc:creator>Administrator</dc:creator>
  <cp:lastModifiedBy>Administrator</cp:lastModifiedBy>
  <dcterms:modified xsi:type="dcterms:W3CDTF">2022-11-10T01:50:11Z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2E21ED513F844DEA923C5C195BD523D8</vt:lpwstr>
  </property>
</Properties>
</file>