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简体"/>
          <w:kern w:val="0"/>
          <w:sz w:val="32"/>
          <w:szCs w:val="32"/>
        </w:rPr>
      </w:pPr>
      <w:r>
        <w:rPr>
          <w:rFonts w:ascii="Times New Roman" w:hAnsi="Times New Roman" w:eastAsia="方正黑体简体"/>
          <w:kern w:val="0"/>
          <w:sz w:val="32"/>
          <w:szCs w:val="32"/>
        </w:rPr>
        <w:t>附件2</w:t>
      </w:r>
    </w:p>
    <w:p>
      <w:pPr>
        <w:spacing w:line="600" w:lineRule="exact"/>
        <w:jc w:val="center"/>
        <w:rPr>
          <w:rFonts w:ascii="Times New Roman" w:hAnsi="Times New Roman" w:eastAsia="方正仿宋简体"/>
          <w:kern w:val="0"/>
          <w:sz w:val="32"/>
          <w:szCs w:val="32"/>
        </w:rPr>
      </w:pPr>
      <w:bookmarkStart w:id="0" w:name="_GoBack"/>
      <w:r>
        <w:rPr>
          <w:rFonts w:ascii="Times New Roman" w:hAnsi="Times New Roman" w:eastAsia="方正小标宋简体"/>
          <w:kern w:val="0"/>
          <w:sz w:val="44"/>
          <w:szCs w:val="44"/>
        </w:rPr>
        <w:t>金属非金属露天矿山安全检查表</w:t>
      </w:r>
    </w:p>
    <w:bookmarkEnd w:id="0"/>
    <w:p>
      <w:pPr>
        <w:spacing w:line="600" w:lineRule="exact"/>
        <w:rPr>
          <w:rFonts w:hint="eastAsia" w:ascii="仿宋_GB2312" w:hAnsi="Times New Roman" w:eastAsia="仿宋_GB2312"/>
          <w:kern w:val="0"/>
          <w:sz w:val="32"/>
          <w:szCs w:val="32"/>
        </w:rPr>
      </w:pPr>
      <w:r>
        <w:rPr>
          <w:rFonts w:hint="eastAsia" w:ascii="仿宋_GB2312" w:hAnsi="Times New Roman" w:eastAsia="仿宋_GB2312"/>
          <w:kern w:val="0"/>
          <w:sz w:val="32"/>
          <w:szCs w:val="32"/>
        </w:rPr>
        <w:t>检查企业名称：                          检查时间：</w:t>
      </w:r>
    </w:p>
    <w:tbl>
      <w:tblPr>
        <w:tblStyle w:val="2"/>
        <w:tblW w:w="9615" w:type="dxa"/>
        <w:tblInd w:w="-236" w:type="dxa"/>
        <w:tblLayout w:type="fixed"/>
        <w:tblCellMar>
          <w:top w:w="15" w:type="dxa"/>
          <w:left w:w="15" w:type="dxa"/>
          <w:bottom w:w="15" w:type="dxa"/>
          <w:right w:w="15" w:type="dxa"/>
        </w:tblCellMar>
      </w:tblPr>
      <w:tblGrid>
        <w:gridCol w:w="564"/>
        <w:gridCol w:w="1324"/>
        <w:gridCol w:w="5529"/>
        <w:gridCol w:w="2198"/>
      </w:tblGrid>
      <w:tr>
        <w:tblPrEx>
          <w:tblCellMar>
            <w:top w:w="15" w:type="dxa"/>
            <w:left w:w="15" w:type="dxa"/>
            <w:bottom w:w="15" w:type="dxa"/>
            <w:right w:w="15" w:type="dxa"/>
          </w:tblCellMar>
        </w:tblPrEx>
        <w:trPr>
          <w:trHeight w:val="49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kern w:val="0"/>
                <w:sz w:val="22"/>
                <w:lang w:bidi="ar"/>
              </w:rPr>
              <w:t>序号</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kern w:val="0"/>
                <w:sz w:val="22"/>
                <w:lang w:bidi="ar"/>
              </w:rPr>
              <w:t>检查项目</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kern w:val="0"/>
                <w:sz w:val="22"/>
                <w:lang w:bidi="ar"/>
              </w:rPr>
              <w:t>检查内容</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rPr>
            </w:pPr>
            <w:r>
              <w:rPr>
                <w:rFonts w:ascii="Times New Roman" w:hAnsi="Times New Roman" w:eastAsia="黑体"/>
                <w:color w:val="000000"/>
                <w:kern w:val="0"/>
                <w:sz w:val="22"/>
                <w:lang w:bidi="ar"/>
              </w:rPr>
              <w:t>检查</w:t>
            </w:r>
            <w:r>
              <w:rPr>
                <w:rFonts w:hint="eastAsia" w:ascii="Times New Roman" w:hAnsi="Times New Roman" w:eastAsia="黑体"/>
                <w:color w:val="000000"/>
                <w:kern w:val="0"/>
                <w:sz w:val="22"/>
                <w:lang w:bidi="ar"/>
              </w:rPr>
              <w:t>发现的隐患和问题</w:t>
            </w:r>
          </w:p>
        </w:tc>
      </w:tr>
      <w:tr>
        <w:tblPrEx>
          <w:tblCellMar>
            <w:top w:w="15" w:type="dxa"/>
            <w:left w:w="15" w:type="dxa"/>
            <w:bottom w:w="15" w:type="dxa"/>
            <w:right w:w="15" w:type="dxa"/>
          </w:tblCellMar>
        </w:tblPrEx>
        <w:trPr>
          <w:trHeight w:val="595" w:hRule="atLeast"/>
        </w:trPr>
        <w:tc>
          <w:tcPr>
            <w:tcW w:w="5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Times New Roman" w:hAnsi="Times New Roman" w:eastAsia="仿宋"/>
                <w:color w:val="000000"/>
                <w:sz w:val="22"/>
              </w:rPr>
            </w:pPr>
            <w:r>
              <w:rPr>
                <w:rFonts w:ascii="Times New Roman" w:hAnsi="Times New Roman" w:eastAsia="仿宋"/>
                <w:color w:val="000000"/>
                <w:kern w:val="0"/>
                <w:sz w:val="22"/>
                <w:lang w:bidi="ar"/>
              </w:rPr>
              <w:t>1</w:t>
            </w:r>
          </w:p>
        </w:tc>
        <w:tc>
          <w:tcPr>
            <w:tcW w:w="132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lang w:bidi="ar"/>
              </w:rPr>
              <w:t>相关证照及内页资料</w:t>
            </w: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各类证照是否齐全有效；</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
                <w:color w:val="000000"/>
                <w:sz w:val="20"/>
                <w:szCs w:val="20"/>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sz w:val="24"/>
                <w:szCs w:val="24"/>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是否按批准的设计方案进行生产、建设</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各类图纸是否齐全有效，安全档案管理是否规范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各项安全生产责任制、规章制度、操作规程是否健全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是否按规定要求建立安全、技术管理机构，配备安全管理人员、技术管理人员</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主要负责人、安全管理人员、特种作业人员是否按规定考核合格</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员工培训是否符合规定</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是否开展双重预防机制及安全标准化体系建设</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外包工程管理是否规范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应急救援预案是否完善，是否按规定定期演练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000000" w:sz="4" w:space="0"/>
              <w:bottom w:val="single" w:color="auto"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c>
          <w:tcPr>
            <w:tcW w:w="1324" w:type="dxa"/>
            <w:vMerge w:val="continue"/>
            <w:tcBorders>
              <w:left w:val="single" w:color="000000" w:sz="4" w:space="0"/>
              <w:bottom w:val="single" w:color="auto"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是否足额提取和使用安全生产费用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eastAsia="仿宋"/>
                <w:color w:val="000000"/>
                <w:kern w:val="0"/>
                <w:sz w:val="22"/>
                <w:lang w:bidi="ar"/>
              </w:rPr>
              <w:t>2</w:t>
            </w:r>
          </w:p>
        </w:tc>
        <w:tc>
          <w:tcPr>
            <w:tcW w:w="13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防范边坡垮塌事故措施落实情况</w:t>
            </w: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是否建立健全边坡管理和检查制度；作业前是否对工作面进行检查，清除危岩和其他危险物体；是否对边坡重点部位和有潜在滑坡危险的地段采取有效的防治措施。</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是否查清开采境界内的废弃巷道、采空区和溶洞，设置明显的警示标志，超前进行处理；节理、裂隙等地质构造发育、容易引起边坡垮塌事故的，是否采取人工加固措施治理边坡。</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是否采用自上而下、分台阶或分层的方式进行开采。</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工作帮坡角是否大于设计工作帮坡角，台阶（分层）高度是否超过设计高度。</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eastAsia="仿宋"/>
                <w:color w:val="000000"/>
                <w:kern w:val="0"/>
                <w:sz w:val="22"/>
                <w:lang w:bidi="ar"/>
              </w:rPr>
              <w:t>2</w:t>
            </w:r>
          </w:p>
        </w:tc>
        <w:tc>
          <w:tcPr>
            <w:tcW w:w="132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防范边坡垮塌事故措施落实情况</w:t>
            </w: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是否擅自开采或破坏设计规定保留的矿柱、岩柱和挂帮矿体。</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是否按照国家标准、行业标准对采场边坡、排土场稳定性进行评估。</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是否对高度200米及以上边坡或排土场进行在线监测；边坡是否存在滑移现象。</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是否有在排土场捡拾矿石的情况。</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tcBorders>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eastAsia="仿宋"/>
                <w:color w:val="000000"/>
                <w:kern w:val="0"/>
                <w:sz w:val="22"/>
                <w:lang w:bidi="ar"/>
              </w:rPr>
              <w:t>3</w:t>
            </w:r>
          </w:p>
        </w:tc>
        <w:tc>
          <w:tcPr>
            <w:tcW w:w="1324" w:type="dxa"/>
            <w:tcBorders>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淘汰落后工艺与设备情况</w:t>
            </w: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按照原国家安全监管总局《金属非金属矿山禁止使用的设备及工艺目录（第一批）》（安监总管一〔2013〕101号）、《金属非金属矿山禁止使用的设备及工艺目录（第二批）》（安监总管一〔2015〕13号）要求，强制淘汰采用干式制动的无轨胶轮车或者改装车辆运输人员、炸药、油料等28项落后工艺及设备。</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restart"/>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eastAsia="仿宋"/>
                <w:color w:val="000000"/>
                <w:kern w:val="0"/>
                <w:sz w:val="22"/>
                <w:lang w:bidi="ar"/>
              </w:rPr>
              <w:t>4</w:t>
            </w:r>
          </w:p>
        </w:tc>
        <w:tc>
          <w:tcPr>
            <w:tcW w:w="1324" w:type="dxa"/>
            <w:vMerge w:val="restart"/>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基建矿山安全管理措施落实情况</w:t>
            </w: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建设项目“三同时”手续是否完备；是否存在未批先建、不按设计建设施工等违法违规行为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设计、施工、监理单位是否具备相应资质</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是否压缩工期，编制的进度计划是否符合实际情况</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建设单位是否组织设计、施工、监理单位进行工程技术交底</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施工单位是否编制施工组织设计，并报监理单位审核；现场人员、设备、设施等是否与施工组织设计一致；是否严格按施工组织设计进行施工</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施工单位是否存在将采掘工程违法分包或者转包的行为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施工单位是否设立安全生产管理机构、配备专职安全生产管理人员；是否建立隐患排查治理制度；是否严格落实领导带班下井制度</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施工单位是否编制应急救援预案，并定期进行演练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监理单位是否对施工组织设计中的安全技术措施或者专项施工方案进行审查；是否编制监理规划；现场人员、设备、设施等是否与监理规划一致</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624" w:hRule="atLeast"/>
        </w:trPr>
        <w:tc>
          <w:tcPr>
            <w:tcW w:w="564" w:type="dxa"/>
            <w:vMerge w:val="restart"/>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eastAsia="仿宋"/>
                <w:color w:val="000000"/>
                <w:kern w:val="0"/>
                <w:sz w:val="22"/>
                <w:lang w:bidi="ar"/>
              </w:rPr>
              <w:t>5</w:t>
            </w:r>
          </w:p>
        </w:tc>
        <w:tc>
          <w:tcPr>
            <w:tcW w:w="1324" w:type="dxa"/>
            <w:vMerge w:val="restart"/>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生产矿山采掘施工单位安全管理措施落实情况</w:t>
            </w: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矿山企业是否与采掘施工单位签订安全管理协议</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矿山企业是否把所有采掘施工单位纳入统一安全管理，是否定期对采掘施工队伍安全管理工作进行检查，是否存在以包代管、包而不管的情况</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r>
              <w:rPr>
                <w:rFonts w:ascii="Times New Roman" w:hAnsi="Times New Roman" w:eastAsia="仿宋"/>
                <w:color w:val="000000"/>
                <w:kern w:val="0"/>
                <w:sz w:val="22"/>
                <w:lang w:bidi="ar"/>
              </w:rPr>
              <w:t>5</w:t>
            </w:r>
          </w:p>
        </w:tc>
        <w:tc>
          <w:tcPr>
            <w:tcW w:w="1324" w:type="dxa"/>
            <w:vMerge w:val="restart"/>
            <w:tcBorders>
              <w:top w:val="single" w:color="auto" w:sz="4" w:space="0"/>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生产矿山采掘施工单位安全管理措施落实情况</w:t>
            </w: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矿山企业应急救援方案是否与各个采掘施工单位应急救援预案有效衔接，是否定期组织包括采掘施工单位的联合应急演练</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采掘施工单位是否按照要求对从业人员进行安全培训；矿山企业是否对采掘施工单位从业人员统一组织安全培训</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r>
        <w:tblPrEx>
          <w:tblCellMar>
            <w:top w:w="15" w:type="dxa"/>
            <w:left w:w="15" w:type="dxa"/>
            <w:bottom w:w="15" w:type="dxa"/>
            <w:right w:w="15" w:type="dxa"/>
          </w:tblCellMar>
        </w:tblPrEx>
        <w:trPr>
          <w:trHeight w:val="595" w:hRule="atLeast"/>
        </w:trPr>
        <w:tc>
          <w:tcPr>
            <w:tcW w:w="56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olor w:val="000000"/>
                <w:kern w:val="0"/>
                <w:sz w:val="22"/>
                <w:lang w:bidi="ar"/>
              </w:rPr>
            </w:pPr>
          </w:p>
        </w:tc>
        <w:tc>
          <w:tcPr>
            <w:tcW w:w="1324" w:type="dxa"/>
            <w:vMerge w:val="continue"/>
            <w:tcBorders>
              <w:left w:val="single" w:color="auto" w:sz="4" w:space="0"/>
              <w:bottom w:val="single" w:color="auto" w:sz="4" w:space="0"/>
              <w:right w:val="single" w:color="auto" w:sz="4" w:space="0"/>
            </w:tcBorders>
            <w:noWrap w:val="0"/>
            <w:vAlign w:val="center"/>
          </w:tcPr>
          <w:p>
            <w:pPr>
              <w:widowControl/>
              <w:jc w:val="left"/>
              <w:textAlignment w:val="center"/>
              <w:rPr>
                <w:rFonts w:ascii="Times New Roman" w:hAnsi="Times New Roman" w:eastAsia="仿宋"/>
                <w:color w:val="000000"/>
                <w:kern w:val="0"/>
                <w:sz w:val="24"/>
                <w:szCs w:val="24"/>
                <w:lang w:bidi="ar"/>
              </w:rPr>
            </w:pPr>
          </w:p>
        </w:tc>
        <w:tc>
          <w:tcPr>
            <w:tcW w:w="5529"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采掘施工单位“三项岗位”人员是否持证上岗</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olor w:val="000000"/>
                <w:kern w:val="0"/>
                <w:sz w:val="22"/>
                <w:lang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YTc4ZDA1ZmEwZDI1NGQ4N2E2YWU3MzE3NDBmYWQifQ=="/>
  </w:docVars>
  <w:rsids>
    <w:rsidRoot w:val="3EB35D6A"/>
    <w:rsid w:val="3EB3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2022-11-10T01:50:00Z</dcterms:created>
  <dc:creator>Administrator</dc:creator>
  <cp:lastModifiedBy>Administrator</cp:lastModifiedBy>
  <dcterms:modified xsi:type="dcterms:W3CDTF">2022-11-10T01:50:37Z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6C0101AD360C49BBA40F983367851C97</vt:lpwstr>
  </property>
</Properties>
</file>