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7504">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ascii="宋体" w:hAnsi="宋体" w:cs="Times New Roman"/>
          <w:b/>
          <w:sz w:val="44"/>
          <w:szCs w:val="44"/>
        </w:rPr>
      </w:pPr>
      <w:bookmarkStart w:id="0" w:name="_GoBack"/>
      <w:bookmarkEnd w:id="0"/>
    </w:p>
    <w:p w14:paraId="3FCC259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cs="Times New Roman"/>
          <w:b/>
          <w:sz w:val="44"/>
          <w:szCs w:val="44"/>
        </w:rPr>
      </w:pPr>
    </w:p>
    <w:p w14:paraId="40C8F5FE">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eastAsia="宋体" w:cs="Times New Roman"/>
          <w:b/>
          <w:sz w:val="44"/>
          <w:szCs w:val="44"/>
        </w:rPr>
      </w:pPr>
      <w:r>
        <w:rPr>
          <w:rFonts w:ascii="宋体" w:hAnsi="宋体" w:cs="Times New Roman"/>
          <w:b/>
          <w:sz w:val="44"/>
          <w:szCs w:val="44"/>
        </w:rPr>
        <w:t>关</w:t>
      </w:r>
      <w:r>
        <w:rPr>
          <w:rFonts w:ascii="宋体" w:hAnsi="宋体" w:eastAsia="宋体" w:cs="Times New Roman"/>
          <w:b/>
          <w:sz w:val="44"/>
          <w:szCs w:val="44"/>
        </w:rPr>
        <w:t>于</w:t>
      </w:r>
      <w:r>
        <w:rPr>
          <w:rFonts w:hint="eastAsia" w:ascii="宋体" w:hAnsi="宋体" w:eastAsia="宋体" w:cs="Times New Roman"/>
          <w:b/>
          <w:sz w:val="44"/>
          <w:szCs w:val="44"/>
          <w:lang w:val="en-US" w:eastAsia="zh-CN"/>
        </w:rPr>
        <w:t>《</w:t>
      </w:r>
      <w:r>
        <w:rPr>
          <w:rFonts w:ascii="宋体" w:hAnsi="宋体" w:eastAsia="宋体" w:cs="Times New Roman"/>
          <w:b/>
          <w:sz w:val="44"/>
          <w:szCs w:val="44"/>
          <w:lang w:val="en-US" w:eastAsia="zh-CN"/>
        </w:rPr>
        <w:t>调兵山顺达砖厂 5MW 分散式风电项目</w:t>
      </w:r>
    </w:p>
    <w:p w14:paraId="4276298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sz w:val="44"/>
          <w:szCs w:val="44"/>
        </w:rPr>
      </w:pPr>
      <w:r>
        <w:rPr>
          <w:rFonts w:hint="eastAsia" w:ascii="宋体" w:hAnsi="宋体" w:eastAsia="宋体" w:cs="Times New Roman"/>
          <w:b/>
          <w:sz w:val="44"/>
          <w:szCs w:val="44"/>
          <w:lang w:eastAsia="zh-CN"/>
        </w:rPr>
        <w:t>环境影响报告表</w:t>
      </w:r>
      <w:r>
        <w:rPr>
          <w:rFonts w:ascii="宋体" w:hAnsi="宋体" w:eastAsia="宋体" w:cs="Times New Roman"/>
          <w:b/>
          <w:sz w:val="44"/>
          <w:szCs w:val="44"/>
        </w:rPr>
        <w:t>》的批复</w:t>
      </w:r>
    </w:p>
    <w:p w14:paraId="70A4520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b/>
          <w:sz w:val="24"/>
        </w:rPr>
      </w:pPr>
    </w:p>
    <w:p w14:paraId="1EB3E6F2">
      <w:pPr>
        <w:keepNext w:val="0"/>
        <w:keepLines w:val="0"/>
        <w:pageBreakBefore w:val="0"/>
        <w:widowControl w:val="0"/>
        <w:suppressLineNumbers w:val="0"/>
        <w:kinsoku w:val="0"/>
        <w:wordWrap/>
        <w:overflowPunct/>
        <w:topLinePunct w:val="0"/>
        <w:autoSpaceDE w:val="0"/>
        <w:autoSpaceDN w:val="0"/>
        <w:bidi w:val="0"/>
        <w:adjustRightInd/>
        <w:snapToGrid/>
        <w:spacing w:line="600" w:lineRule="exact"/>
        <w:jc w:val="left"/>
        <w:textAlignment w:val="auto"/>
        <w:rPr>
          <w:rFonts w:hint="eastAsia" w:ascii="仿宋" w:hAnsi="仿宋" w:eastAsia="仿宋"/>
          <w:sz w:val="32"/>
          <w:szCs w:val="32"/>
          <w:lang w:val="en-US" w:eastAsia="zh-CN"/>
        </w:rPr>
      </w:pPr>
      <w:r>
        <w:rPr>
          <w:rFonts w:ascii="仿宋" w:hAnsi="仿宋" w:eastAsia="仿宋" w:cs="仿宋"/>
          <w:color w:val="000000"/>
          <w:kern w:val="0"/>
          <w:sz w:val="31"/>
          <w:szCs w:val="31"/>
          <w:lang w:val="en-US" w:eastAsia="zh-CN" w:bidi="ar"/>
        </w:rPr>
        <w:t>调兵山市顺达新型墙体材料厂</w:t>
      </w:r>
      <w:r>
        <w:rPr>
          <w:rFonts w:hint="eastAsia" w:ascii="仿宋" w:hAnsi="仿宋" w:eastAsia="仿宋"/>
          <w:sz w:val="32"/>
          <w:szCs w:val="32"/>
          <w:lang w:val="en-US" w:eastAsia="zh-CN"/>
        </w:rPr>
        <w:t>：</w:t>
      </w:r>
    </w:p>
    <w:p w14:paraId="492E4AF1">
      <w:pPr>
        <w:keepNext w:val="0"/>
        <w:keepLines w:val="0"/>
        <w:pageBreakBefore w:val="0"/>
        <w:widowControl w:val="0"/>
        <w:suppressLineNumbers w:val="0"/>
        <w:kinsoku w:val="0"/>
        <w:wordWrap/>
        <w:overflowPunct/>
        <w:topLinePunct w:val="0"/>
        <w:autoSpaceDE w:val="0"/>
        <w:autoSpaceDN w:val="0"/>
        <w:bidi w:val="0"/>
        <w:adjustRightInd/>
        <w:snapToGrid/>
        <w:spacing w:line="600" w:lineRule="exact"/>
        <w:ind w:left="0" w:leftChars="0" w:firstLine="640" w:firstLineChars="200"/>
        <w:jc w:val="both"/>
        <w:textAlignment w:val="auto"/>
        <w:rPr>
          <w:rFonts w:ascii="仿宋" w:hAnsi="仿宋" w:eastAsia="仿宋"/>
          <w:b/>
          <w:sz w:val="32"/>
          <w:szCs w:val="32"/>
        </w:rPr>
      </w:pPr>
      <w:r>
        <w:rPr>
          <w:rFonts w:hint="eastAsia" w:ascii="仿宋" w:hAnsi="仿宋" w:eastAsia="仿宋"/>
          <w:sz w:val="32"/>
          <w:szCs w:val="32"/>
        </w:rPr>
        <w:t>你单位报来</w:t>
      </w:r>
      <w:r>
        <w:rPr>
          <w:rFonts w:hint="eastAsia" w:ascii="仿宋" w:hAnsi="仿宋" w:eastAsia="仿宋" w:cs="Times New Roman"/>
          <w:sz w:val="32"/>
          <w:szCs w:val="32"/>
          <w:lang w:eastAsia="zh-CN"/>
        </w:rPr>
        <w:t>的《</w:t>
      </w:r>
      <w:r>
        <w:rPr>
          <w:rFonts w:hint="eastAsia" w:ascii="仿宋" w:hAnsi="仿宋" w:eastAsia="仿宋" w:cs="Times New Roman"/>
          <w:sz w:val="32"/>
          <w:szCs w:val="32"/>
          <w:lang w:val="en-US" w:eastAsia="zh-CN"/>
        </w:rPr>
        <w:t>调兵山顺达砖厂 5MW 分散式风电项目</w:t>
      </w:r>
      <w:r>
        <w:rPr>
          <w:rFonts w:hint="eastAsia" w:ascii="仿宋" w:hAnsi="仿宋" w:eastAsia="仿宋" w:cs="Times New Roman"/>
          <w:sz w:val="32"/>
          <w:szCs w:val="32"/>
          <w:lang w:eastAsia="zh-CN"/>
        </w:rPr>
        <w:t>环境影响报告表》（以下简称《报告表》）收悉。根据国家有关环保政策法规要求，我局组织有关专家对该《报</w:t>
      </w:r>
      <w:r>
        <w:rPr>
          <w:rFonts w:hint="eastAsia" w:ascii="仿宋" w:hAnsi="仿宋" w:eastAsia="仿宋"/>
          <w:sz w:val="32"/>
          <w:szCs w:val="32"/>
        </w:rPr>
        <w:t>告</w:t>
      </w:r>
      <w:r>
        <w:rPr>
          <w:rFonts w:hint="eastAsia" w:ascii="仿宋" w:hAnsi="仿宋" w:eastAsia="仿宋"/>
          <w:sz w:val="32"/>
          <w:szCs w:val="32"/>
          <w:lang w:eastAsia="zh-CN"/>
        </w:rPr>
        <w:t>表</w:t>
      </w:r>
      <w:r>
        <w:rPr>
          <w:rFonts w:hint="eastAsia" w:ascii="仿宋" w:hAnsi="仿宋" w:eastAsia="仿宋"/>
          <w:sz w:val="32"/>
          <w:szCs w:val="32"/>
        </w:rPr>
        <w:t>》进行了认真评审，现对该《报告</w:t>
      </w:r>
      <w:r>
        <w:rPr>
          <w:rFonts w:hint="eastAsia" w:ascii="仿宋" w:hAnsi="仿宋" w:eastAsia="仿宋"/>
          <w:sz w:val="32"/>
          <w:szCs w:val="32"/>
          <w:lang w:eastAsia="zh-CN"/>
        </w:rPr>
        <w:t>表</w:t>
      </w:r>
      <w:r>
        <w:rPr>
          <w:rFonts w:hint="eastAsia" w:ascii="仿宋" w:hAnsi="仿宋" w:eastAsia="仿宋"/>
          <w:sz w:val="32"/>
          <w:szCs w:val="32"/>
        </w:rPr>
        <w:t>》提出审批意见如下：</w:t>
      </w:r>
      <w:r>
        <w:rPr>
          <w:rFonts w:hint="eastAsia" w:ascii="仿宋" w:hAnsi="仿宋" w:eastAsia="仿宋"/>
          <w:sz w:val="32"/>
          <w:szCs w:val="32"/>
          <w:lang w:val="en-US" w:eastAsia="zh-CN"/>
        </w:rPr>
        <w:t xml:space="preserve">                                                                                                                                                                                                                                                                                                                                                                                                                                                                                                                                                                                                                                                                                                                                                                                                                                                                                                                                                                                                                                                                                                                                                                </w:t>
      </w:r>
    </w:p>
    <w:p w14:paraId="79E26D76">
      <w:pPr>
        <w:keepNext w:val="0"/>
        <w:keepLines w:val="0"/>
        <w:pageBreakBefore w:val="0"/>
        <w:widowControl w:val="0"/>
        <w:suppressLineNumbers w:val="0"/>
        <w:kinsoku w:val="0"/>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sz w:val="32"/>
          <w:szCs w:val="32"/>
          <w:lang w:eastAsia="zh-CN"/>
        </w:rPr>
      </w:pPr>
      <w:r>
        <w:rPr>
          <w:rFonts w:hint="eastAsia" w:ascii="仿宋" w:hAnsi="仿宋" w:eastAsia="仿宋" w:cs="Times New Roman"/>
          <w:sz w:val="32"/>
          <w:szCs w:val="32"/>
          <w:lang w:val="en-US" w:eastAsia="zh-CN"/>
        </w:rPr>
        <w:t xml:space="preserve">一、本项目位于辽宁省铁岭市调兵山市晓明镇前屯村调兵山市顺达新型墙体材料厂内安装 </w:t>
      </w:r>
      <w:r>
        <w:rPr>
          <w:rFonts w:hint="default" w:ascii="仿宋" w:hAnsi="仿宋" w:eastAsia="仿宋" w:cs="Times New Roman"/>
          <w:sz w:val="32"/>
          <w:szCs w:val="32"/>
          <w:lang w:val="en-US" w:eastAsia="zh-CN"/>
        </w:rPr>
        <w:t xml:space="preserve">1 </w:t>
      </w:r>
      <w:r>
        <w:rPr>
          <w:rFonts w:hint="eastAsia" w:ascii="仿宋" w:hAnsi="仿宋" w:eastAsia="仿宋" w:cs="Times New Roman"/>
          <w:sz w:val="32"/>
          <w:szCs w:val="32"/>
          <w:lang w:val="en-US" w:eastAsia="zh-CN"/>
        </w:rPr>
        <w:t xml:space="preserve">台 </w:t>
      </w:r>
      <w:r>
        <w:rPr>
          <w:rFonts w:hint="default" w:ascii="仿宋" w:hAnsi="仿宋" w:eastAsia="仿宋" w:cs="Times New Roman"/>
          <w:sz w:val="32"/>
          <w:szCs w:val="32"/>
          <w:lang w:val="en-US" w:eastAsia="zh-CN"/>
        </w:rPr>
        <w:t xml:space="preserve">5000KW </w:t>
      </w:r>
      <w:r>
        <w:rPr>
          <w:rFonts w:hint="eastAsia" w:ascii="仿宋" w:hAnsi="仿宋" w:eastAsia="仿宋" w:cs="Times New Roman"/>
          <w:sz w:val="32"/>
          <w:szCs w:val="32"/>
          <w:lang w:val="en-US" w:eastAsia="zh-CN"/>
        </w:rPr>
        <w:t xml:space="preserve">风力发电机组，配套新建 </w:t>
      </w:r>
      <w:r>
        <w:rPr>
          <w:rFonts w:hint="default" w:ascii="仿宋" w:hAnsi="仿宋" w:eastAsia="仿宋" w:cs="Times New Roman"/>
          <w:sz w:val="32"/>
          <w:szCs w:val="32"/>
          <w:lang w:val="en-US" w:eastAsia="zh-CN"/>
        </w:rPr>
        <w:t xml:space="preserve">10kV </w:t>
      </w:r>
      <w:r>
        <w:rPr>
          <w:rFonts w:hint="eastAsia" w:ascii="仿宋" w:hAnsi="仿宋" w:eastAsia="仿宋" w:cs="Times New Roman"/>
          <w:sz w:val="32"/>
          <w:szCs w:val="32"/>
          <w:lang w:val="en-US" w:eastAsia="zh-CN"/>
        </w:rPr>
        <w:t>开关站一座，项目总装机容量为</w:t>
      </w:r>
      <w:r>
        <w:rPr>
          <w:rFonts w:hint="default" w:ascii="仿宋" w:hAnsi="仿宋" w:eastAsia="仿宋" w:cs="Times New Roman"/>
          <w:sz w:val="32"/>
          <w:szCs w:val="32"/>
          <w:lang w:val="en-US" w:eastAsia="zh-CN"/>
        </w:rPr>
        <w:t>5MW</w:t>
      </w:r>
      <w:r>
        <w:rPr>
          <w:rFonts w:hint="eastAsia" w:ascii="仿宋" w:hAnsi="仿宋" w:eastAsia="仿宋" w:cs="Times New Roman"/>
          <w:sz w:val="32"/>
          <w:szCs w:val="32"/>
          <w:lang w:val="en-US" w:eastAsia="zh-CN"/>
        </w:rPr>
        <w:t>。</w:t>
      </w:r>
      <w:r>
        <w:rPr>
          <w:rFonts w:hint="eastAsia" w:ascii="仿宋" w:hAnsi="仿宋" w:eastAsia="仿宋"/>
          <w:sz w:val="32"/>
          <w:szCs w:val="32"/>
          <w:lang w:eastAsia="zh-CN"/>
        </w:rPr>
        <w:t>总投资</w:t>
      </w:r>
      <w:r>
        <w:rPr>
          <w:rFonts w:hint="eastAsia" w:ascii="仿宋" w:hAnsi="仿宋" w:eastAsia="仿宋"/>
          <w:sz w:val="32"/>
          <w:szCs w:val="32"/>
          <w:lang w:val="en-US" w:eastAsia="zh-CN"/>
        </w:rPr>
        <w:t>3132.89</w:t>
      </w:r>
      <w:r>
        <w:rPr>
          <w:rFonts w:hint="eastAsia" w:ascii="仿宋" w:hAnsi="仿宋" w:eastAsia="仿宋"/>
          <w:sz w:val="32"/>
          <w:szCs w:val="32"/>
          <w:lang w:eastAsia="zh-CN"/>
        </w:rPr>
        <w:t>万元，其中环保投资为</w:t>
      </w:r>
      <w:r>
        <w:rPr>
          <w:rFonts w:hint="eastAsia" w:ascii="仿宋" w:hAnsi="仿宋" w:eastAsia="仿宋"/>
          <w:sz w:val="32"/>
          <w:szCs w:val="32"/>
          <w:lang w:val="en-US" w:eastAsia="zh-CN"/>
        </w:rPr>
        <w:t>20</w:t>
      </w:r>
      <w:r>
        <w:rPr>
          <w:rFonts w:hint="eastAsia" w:ascii="仿宋" w:hAnsi="仿宋" w:eastAsia="仿宋"/>
          <w:sz w:val="32"/>
          <w:szCs w:val="32"/>
          <w:lang w:eastAsia="zh-CN"/>
        </w:rPr>
        <w:t>万元。在落实《报告表》和批复提出的各项生态环境保护及污染防治措施前提下,我局同意你单位按照《报告表》中所列建设项目的性质、规模、地点和生态环境保护措施进行项目建设。</w:t>
      </w:r>
    </w:p>
    <w:p w14:paraId="33ECC5CD">
      <w:pPr>
        <w:keepNext w:val="0"/>
        <w:keepLines w:val="0"/>
        <w:pageBreakBefore w:val="0"/>
        <w:widowControl w:val="0"/>
        <w:kinsoku w:val="0"/>
        <w:wordWrap/>
        <w:overflowPunct/>
        <w:topLinePunct w:val="0"/>
        <w:autoSpaceDE w:val="0"/>
        <w:autoSpaceDN w:val="0"/>
        <w:bidi w:val="0"/>
        <w:adjustRightInd/>
        <w:snapToGrid/>
        <w:spacing w:line="600" w:lineRule="exact"/>
        <w:ind w:left="0" w:leftChars="0" w:firstLine="633" w:firstLineChars="198"/>
        <w:jc w:val="both"/>
        <w:textAlignment w:val="auto"/>
        <w:rPr>
          <w:rFonts w:ascii="仿宋" w:hAnsi="仿宋" w:eastAsia="仿宋"/>
          <w:sz w:val="32"/>
          <w:szCs w:val="32"/>
        </w:rPr>
      </w:pPr>
      <w:r>
        <w:rPr>
          <w:rFonts w:ascii="仿宋" w:hAnsi="仿宋" w:eastAsia="仿宋"/>
          <w:sz w:val="32"/>
          <w:szCs w:val="32"/>
        </w:rPr>
        <w:t>二、项</w:t>
      </w:r>
      <w:r>
        <w:rPr>
          <w:rFonts w:hint="eastAsia" w:ascii="仿宋" w:hAnsi="仿宋" w:eastAsia="仿宋"/>
          <w:sz w:val="32"/>
          <w:szCs w:val="32"/>
          <w:lang w:eastAsia="zh-CN"/>
        </w:rPr>
        <w:t>目在设计、建设及运营管理中，</w:t>
      </w:r>
      <w:r>
        <w:rPr>
          <w:rFonts w:ascii="仿宋" w:hAnsi="仿宋" w:eastAsia="仿宋"/>
          <w:sz w:val="32"/>
          <w:szCs w:val="32"/>
        </w:rPr>
        <w:t>重点做好以下工作：</w:t>
      </w:r>
    </w:p>
    <w:p w14:paraId="6876A67D">
      <w:pPr>
        <w:keepNext w:val="0"/>
        <w:keepLines w:val="0"/>
        <w:pageBreakBefore w:val="0"/>
        <w:widowControl w:val="0"/>
        <w:kinsoku w:val="0"/>
        <w:wordWrap/>
        <w:topLinePunct w:val="0"/>
        <w:autoSpaceDE w:val="0"/>
        <w:autoSpaceDN w:val="0"/>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（一）落实设计过程中的管理要求</w:t>
      </w:r>
    </w:p>
    <w:p w14:paraId="2E476A37">
      <w:pPr>
        <w:keepNext w:val="0"/>
        <w:keepLines w:val="0"/>
        <w:pageBreakBefore w:val="0"/>
        <w:widowControl w:val="0"/>
        <w:kinsoku w:val="0"/>
        <w:wordWrap/>
        <w:topLinePunct w:val="0"/>
        <w:autoSpaceDE w:val="0"/>
        <w:autoSpaceDN w:val="0"/>
        <w:bidi w:val="0"/>
        <w:adjustRightInd/>
        <w:snapToGrid/>
        <w:spacing w:line="60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本项目的初步设计应当按照环境保护设计规范的要求，编制环境保护篇章，落实防治环境污染和防止生态破坏的措施以及环境保护设施投资概算。</w:t>
      </w:r>
    </w:p>
    <w:p w14:paraId="389790BE">
      <w:pPr>
        <w:keepNext w:val="0"/>
        <w:keepLines w:val="0"/>
        <w:pageBreakBefore w:val="0"/>
        <w:widowControl w:val="0"/>
        <w:kinsoku w:val="0"/>
        <w:wordWrap/>
        <w:topLinePunct w:val="0"/>
        <w:autoSpaceDE w:val="0"/>
        <w:autoSpaceDN w:val="0"/>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（二）落实施工期生态环境保护措施</w:t>
      </w:r>
    </w:p>
    <w:p w14:paraId="46D5ADE2">
      <w:pPr>
        <w:keepNext w:val="0"/>
        <w:keepLines w:val="0"/>
        <w:pageBreakBefore w:val="0"/>
        <w:widowControl w:val="0"/>
        <w:kinsoku w:val="0"/>
        <w:wordWrap/>
        <w:topLinePunct w:val="0"/>
        <w:autoSpaceDE w:val="0"/>
        <w:autoSpaceDN w:val="0"/>
        <w:bidi w:val="0"/>
        <w:adjustRightInd/>
        <w:snapToGrid/>
        <w:spacing w:line="600" w:lineRule="exact"/>
        <w:ind w:firstLine="640" w:firstLineChars="200"/>
        <w:jc w:val="both"/>
        <w:textAlignment w:val="auto"/>
        <w:rPr>
          <w:rFonts w:hint="eastAsia" w:ascii="仿宋" w:hAnsi="仿宋" w:eastAsia="仿宋"/>
          <w:color w:val="auto"/>
          <w:sz w:val="32"/>
          <w:szCs w:val="32"/>
          <w:lang w:val="en-US" w:eastAsia="zh-CN"/>
        </w:rPr>
      </w:pPr>
      <w:r>
        <w:rPr>
          <w:rFonts w:hint="eastAsia" w:ascii="仿宋" w:hAnsi="仿宋" w:eastAsia="仿宋"/>
          <w:sz w:val="32"/>
          <w:szCs w:val="32"/>
          <w:lang w:val="en-US" w:eastAsia="zh-CN"/>
        </w:rPr>
        <w:t>1.落实大气污染防治措施。施工设置挡风墙、物料库存或加盖，加强运输车辆管理，对道路进行洒水抑尘。</w:t>
      </w:r>
      <w:r>
        <w:rPr>
          <w:rFonts w:hint="eastAsia" w:ascii="仿宋" w:hAnsi="仿宋" w:eastAsia="仿宋"/>
          <w:color w:val="auto"/>
          <w:sz w:val="32"/>
          <w:szCs w:val="32"/>
          <w:lang w:val="en-US" w:eastAsia="zh-CN"/>
        </w:rPr>
        <w:t>施工扬尘应满足《施工及堆料场地扬尘排放标准》（DB21/2642-2016）的要求。</w:t>
      </w:r>
    </w:p>
    <w:p w14:paraId="1D095AC3">
      <w:pPr>
        <w:keepNext w:val="0"/>
        <w:keepLines w:val="0"/>
        <w:pageBreakBefore w:val="0"/>
        <w:widowControl w:val="0"/>
        <w:kinsoku w:val="0"/>
        <w:wordWrap/>
        <w:topLinePunct w:val="0"/>
        <w:autoSpaceDE w:val="0"/>
        <w:autoSpaceDN w:val="0"/>
        <w:bidi w:val="0"/>
        <w:adjustRightInd/>
        <w:snapToGrid/>
        <w:spacing w:line="60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2.落实水污染防治措施。施工期废水设临时沉淀池，沉淀的废水用于施工场地降尘；生活污水排入调兵山市顺达新型墙体材料厂已建防渗旱厕，定期清掏堆肥。</w:t>
      </w:r>
    </w:p>
    <w:p w14:paraId="7D86F708">
      <w:pPr>
        <w:keepNext w:val="0"/>
        <w:keepLines w:val="0"/>
        <w:pageBreakBefore w:val="0"/>
        <w:widowControl w:val="0"/>
        <w:kinsoku w:val="0"/>
        <w:wordWrap/>
        <w:topLinePunct w:val="0"/>
        <w:autoSpaceDE w:val="0"/>
        <w:autoSpaceDN w:val="0"/>
        <w:bidi w:val="0"/>
        <w:adjustRightInd/>
        <w:snapToGrid/>
        <w:spacing w:line="600" w:lineRule="exact"/>
        <w:ind w:firstLine="640" w:firstLineChars="200"/>
        <w:jc w:val="both"/>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3.落实固体废物污染防治措施。包装袋、建筑边角料由建设单位回收；施工垃圾采用</w:t>
      </w:r>
      <w:r>
        <w:rPr>
          <w:rFonts w:hint="default" w:ascii="仿宋" w:hAnsi="仿宋" w:eastAsia="仿宋" w:cs="Times New Roman"/>
          <w:color w:val="auto"/>
          <w:sz w:val="32"/>
          <w:szCs w:val="32"/>
          <w:lang w:val="en-US" w:eastAsia="zh-CN"/>
        </w:rPr>
        <w:t>“</w:t>
      </w:r>
      <w:r>
        <w:rPr>
          <w:rFonts w:hint="eastAsia" w:ascii="仿宋" w:hAnsi="仿宋" w:eastAsia="仿宋" w:cs="Times New Roman"/>
          <w:color w:val="auto"/>
          <w:sz w:val="32"/>
          <w:szCs w:val="32"/>
          <w:lang w:val="en-US" w:eastAsia="zh-CN"/>
        </w:rPr>
        <w:t>土石方在本地区就地平衡的原则</w:t>
      </w:r>
      <w:r>
        <w:rPr>
          <w:rFonts w:hint="default" w:ascii="仿宋" w:hAnsi="仿宋" w:eastAsia="仿宋" w:cs="Times New Roman"/>
          <w:color w:val="auto"/>
          <w:sz w:val="32"/>
          <w:szCs w:val="32"/>
          <w:lang w:val="en-US" w:eastAsia="zh-CN"/>
        </w:rPr>
        <w:t>—</w:t>
      </w:r>
      <w:r>
        <w:rPr>
          <w:rFonts w:hint="eastAsia" w:ascii="仿宋" w:hAnsi="仿宋" w:eastAsia="仿宋" w:cs="Times New Roman"/>
          <w:color w:val="auto"/>
          <w:sz w:val="32"/>
          <w:szCs w:val="32"/>
          <w:lang w:val="en-US" w:eastAsia="zh-CN"/>
        </w:rPr>
        <w:t>尽量减少土石方量，降低土石的移动</w:t>
      </w:r>
      <w:r>
        <w:rPr>
          <w:rFonts w:hint="default" w:ascii="仿宋" w:hAnsi="仿宋" w:eastAsia="仿宋" w:cs="Times New Roman"/>
          <w:color w:val="auto"/>
          <w:sz w:val="32"/>
          <w:szCs w:val="32"/>
          <w:lang w:val="en-US" w:eastAsia="zh-CN"/>
        </w:rPr>
        <w:t>”</w:t>
      </w:r>
      <w:r>
        <w:rPr>
          <w:rFonts w:hint="eastAsia" w:ascii="仿宋" w:hAnsi="仿宋" w:eastAsia="仿宋" w:cs="Times New Roman"/>
          <w:color w:val="auto"/>
          <w:sz w:val="32"/>
          <w:szCs w:val="32"/>
          <w:lang w:val="en-US" w:eastAsia="zh-CN"/>
        </w:rPr>
        <w:t>，施工挖掘剩余弃土、残土全部用于道路及场地平整，不外排。</w:t>
      </w:r>
    </w:p>
    <w:p w14:paraId="4C54E6D9">
      <w:pPr>
        <w:keepNext w:val="0"/>
        <w:keepLines w:val="0"/>
        <w:pageBreakBefore w:val="0"/>
        <w:widowControl w:val="0"/>
        <w:suppressLineNumbers w:val="0"/>
        <w:kinsoku w:val="0"/>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cs="Times New Roman"/>
          <w:sz w:val="32"/>
          <w:szCs w:val="32"/>
          <w:lang w:eastAsia="zh-CN"/>
        </w:rPr>
      </w:pPr>
      <w:r>
        <w:rPr>
          <w:rFonts w:hint="eastAsia" w:ascii="仿宋" w:hAnsi="仿宋" w:eastAsia="仿宋"/>
          <w:sz w:val="32"/>
          <w:szCs w:val="32"/>
          <w:lang w:val="en-US" w:eastAsia="zh-CN"/>
        </w:rPr>
        <w:t>4.落实噪声污染防治措施。合理布置场地、安排施工工序和施工时间。施工期噪声应满足《建筑施工场界噪声排放标准》（GB12523-2011）的要求</w:t>
      </w:r>
      <w:r>
        <w:rPr>
          <w:rFonts w:hint="eastAsia" w:ascii="仿宋" w:hAnsi="仿宋" w:eastAsia="仿宋" w:cs="Times New Roman"/>
          <w:sz w:val="32"/>
          <w:szCs w:val="32"/>
          <w:lang w:eastAsia="zh-CN"/>
        </w:rPr>
        <w:t>。</w:t>
      </w:r>
    </w:p>
    <w:p w14:paraId="6223F838">
      <w:pPr>
        <w:keepNext w:val="0"/>
        <w:keepLines w:val="0"/>
        <w:pageBreakBefore w:val="0"/>
        <w:widowControl w:val="0"/>
        <w:kinsoku w:val="0"/>
        <w:wordWrap/>
        <w:topLinePunct w:val="0"/>
        <w:autoSpaceDE w:val="0"/>
        <w:autoSpaceDN w:val="0"/>
        <w:bidi w:val="0"/>
        <w:adjustRightInd/>
        <w:snapToGrid/>
        <w:spacing w:line="600" w:lineRule="exact"/>
        <w:ind w:firstLine="640" w:firstLineChars="200"/>
        <w:jc w:val="both"/>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5.落实生态污染防治措施。优化施工工艺，除了对风机、杆塔基础施工扰动少量地表外，不破坏原有地表植被。施工前对临时施工场地进行表土剥离，单独暂存于渣土场，用于生态修复。</w:t>
      </w:r>
    </w:p>
    <w:p w14:paraId="5390DB0C">
      <w:pPr>
        <w:keepNext w:val="0"/>
        <w:keepLines w:val="0"/>
        <w:pageBreakBefore w:val="0"/>
        <w:widowControl w:val="0"/>
        <w:kinsoku w:val="0"/>
        <w:wordWrap/>
        <w:overflowPunct/>
        <w:topLinePunct w:val="0"/>
        <w:autoSpaceDE w:val="0"/>
        <w:autoSpaceDN w:val="0"/>
        <w:bidi w:val="0"/>
        <w:adjustRightInd/>
        <w:snapToGrid/>
        <w:spacing w:line="600" w:lineRule="exact"/>
        <w:ind w:left="0" w:leftChars="0" w:firstLine="636" w:firstLineChars="198"/>
        <w:jc w:val="both"/>
        <w:textAlignment w:val="auto"/>
        <w:rPr>
          <w:rFonts w:ascii="仿宋" w:hAnsi="仿宋" w:eastAsia="仿宋"/>
          <w:sz w:val="32"/>
          <w:szCs w:val="32"/>
        </w:rPr>
      </w:pPr>
      <w:r>
        <w:rPr>
          <w:rFonts w:hint="eastAsia" w:ascii="楷体" w:hAnsi="楷体" w:eastAsia="楷体" w:cs="楷体"/>
          <w:b/>
          <w:bCs/>
          <w:sz w:val="32"/>
          <w:szCs w:val="32"/>
          <w:lang w:val="en-US" w:eastAsia="zh-CN"/>
        </w:rPr>
        <w:t>（三）落实运营期生态环境保护措施。</w:t>
      </w:r>
    </w:p>
    <w:p w14:paraId="3F077754">
      <w:pPr>
        <w:keepNext w:val="0"/>
        <w:keepLines w:val="0"/>
        <w:pageBreakBefore w:val="0"/>
        <w:widowControl w:val="0"/>
        <w:kinsoku w:val="0"/>
        <w:wordWrap/>
        <w:topLinePunct w:val="0"/>
        <w:autoSpaceDE w:val="0"/>
        <w:autoSpaceDN w:val="0"/>
        <w:bidi w:val="0"/>
        <w:adjustRightInd/>
        <w:snapToGrid/>
        <w:spacing w:line="600" w:lineRule="exact"/>
        <w:ind w:firstLine="640" w:firstLineChars="200"/>
        <w:jc w:val="both"/>
        <w:textAlignment w:val="auto"/>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1.落实固体废物污染防治措施。废变压器由厂家回收再利用，不暂存。箱式变压器事故时产生的废变压器油，风机检修时产生的废润滑油、废液压油、废含油抹布，暂存于企业现有危废贮存点（5m</w:t>
      </w:r>
      <w:r>
        <w:rPr>
          <w:rFonts w:hint="eastAsia" w:ascii="仿宋" w:hAnsi="仿宋" w:eastAsia="仿宋" w:cs="Times New Roman"/>
          <w:color w:val="auto"/>
          <w:sz w:val="32"/>
          <w:szCs w:val="32"/>
          <w:vertAlign w:val="superscript"/>
          <w:lang w:val="en-US" w:eastAsia="zh-CN"/>
        </w:rPr>
        <w:t>2</w:t>
      </w:r>
      <w:r>
        <w:rPr>
          <w:rFonts w:hint="eastAsia" w:ascii="仿宋" w:hAnsi="仿宋" w:eastAsia="仿宋" w:cs="Times New Roman"/>
          <w:color w:val="auto"/>
          <w:sz w:val="32"/>
          <w:szCs w:val="32"/>
          <w:lang w:val="en-US" w:eastAsia="zh-CN"/>
        </w:rPr>
        <w:t>）内分类分区储存，定期交由有资质的单位处置。</w:t>
      </w:r>
    </w:p>
    <w:p w14:paraId="23626F41">
      <w:pPr>
        <w:keepNext w:val="0"/>
        <w:keepLines w:val="0"/>
        <w:pageBreakBefore w:val="0"/>
        <w:widowControl w:val="0"/>
        <w:kinsoku w:val="0"/>
        <w:wordWrap/>
        <w:topLinePunct w:val="0"/>
        <w:autoSpaceDE w:val="0"/>
        <w:autoSpaceDN w:val="0"/>
        <w:bidi w:val="0"/>
        <w:adjustRightInd/>
        <w:snapToGrid/>
        <w:spacing w:line="600" w:lineRule="exact"/>
        <w:ind w:firstLine="640" w:firstLineChars="200"/>
        <w:jc w:val="both"/>
        <w:textAlignment w:val="auto"/>
        <w:rPr>
          <w:rFonts w:hint="default" w:ascii="仿宋" w:hAnsi="仿宋" w:eastAsia="仿宋" w:cs="Times New Roman"/>
          <w:color w:val="auto"/>
          <w:sz w:val="32"/>
          <w:szCs w:val="32"/>
          <w:lang w:val="en-US" w:eastAsia="zh-CN"/>
        </w:rPr>
      </w:pPr>
      <w:r>
        <w:rPr>
          <w:rFonts w:hint="eastAsia" w:ascii="仿宋" w:hAnsi="仿宋" w:eastAsia="仿宋" w:cs="Times New Roman"/>
          <w:sz w:val="32"/>
          <w:szCs w:val="32"/>
          <w:lang w:val="en-US" w:eastAsia="zh-CN"/>
        </w:rPr>
        <w:t>2.落实噪声</w:t>
      </w:r>
      <w:r>
        <w:rPr>
          <w:rFonts w:hint="eastAsia" w:ascii="仿宋" w:hAnsi="仿宋" w:eastAsia="仿宋" w:cs="Times New Roman"/>
          <w:color w:val="auto"/>
          <w:sz w:val="32"/>
          <w:szCs w:val="32"/>
          <w:lang w:val="en-US" w:eastAsia="zh-CN"/>
        </w:rPr>
        <w:t>污染防治措施。优化设备选型，选用低噪声设备，经常对设备进行维护和检修，使其处于良好的运行状态，避免机器运转不正常时噪声值增高，本项目周围设置长</w:t>
      </w:r>
      <w:r>
        <w:rPr>
          <w:rFonts w:hint="default" w:ascii="仿宋" w:hAnsi="仿宋" w:eastAsia="仿宋" w:cs="Times New Roman"/>
          <w:color w:val="auto"/>
          <w:sz w:val="32"/>
          <w:szCs w:val="32"/>
          <w:lang w:val="en-US" w:eastAsia="zh-CN"/>
        </w:rPr>
        <w:t>240m</w:t>
      </w:r>
      <w:r>
        <w:rPr>
          <w:rFonts w:hint="eastAsia" w:ascii="仿宋" w:hAnsi="仿宋" w:eastAsia="仿宋" w:cs="Times New Roman"/>
          <w:color w:val="auto"/>
          <w:sz w:val="32"/>
          <w:szCs w:val="32"/>
          <w:lang w:val="en-US" w:eastAsia="zh-CN"/>
        </w:rPr>
        <w:t>，高</w:t>
      </w:r>
      <w:r>
        <w:rPr>
          <w:rFonts w:hint="default" w:ascii="仿宋" w:hAnsi="仿宋" w:eastAsia="仿宋" w:cs="Times New Roman"/>
          <w:color w:val="auto"/>
          <w:sz w:val="32"/>
          <w:szCs w:val="32"/>
          <w:lang w:val="en-US" w:eastAsia="zh-CN"/>
        </w:rPr>
        <w:t>4m</w:t>
      </w:r>
      <w:r>
        <w:rPr>
          <w:rFonts w:hint="eastAsia" w:ascii="仿宋" w:hAnsi="仿宋" w:eastAsia="仿宋" w:cs="Times New Roman"/>
          <w:color w:val="auto"/>
          <w:sz w:val="32"/>
          <w:szCs w:val="32"/>
          <w:lang w:val="en-US" w:eastAsia="zh-CN"/>
        </w:rPr>
        <w:t>围墙及绿化带进行吸声隔声保证运营期厂界噪声满足《工业企业厂界环境噪声排放标准》（</w:t>
      </w:r>
      <w:r>
        <w:rPr>
          <w:rFonts w:hint="default" w:ascii="仿宋" w:hAnsi="仿宋" w:eastAsia="仿宋" w:cs="Times New Roman"/>
          <w:color w:val="auto"/>
          <w:sz w:val="32"/>
          <w:szCs w:val="32"/>
          <w:lang w:val="en-US" w:eastAsia="zh-CN"/>
        </w:rPr>
        <w:t>GB12348-2008</w:t>
      </w:r>
      <w:r>
        <w:rPr>
          <w:rFonts w:hint="eastAsia" w:ascii="仿宋" w:hAnsi="仿宋" w:eastAsia="仿宋" w:cs="Times New Roman"/>
          <w:color w:val="auto"/>
          <w:sz w:val="32"/>
          <w:szCs w:val="32"/>
          <w:lang w:val="en-US" w:eastAsia="zh-CN"/>
        </w:rPr>
        <w:t>）中</w:t>
      </w:r>
      <w:r>
        <w:rPr>
          <w:rFonts w:hint="default" w:ascii="仿宋" w:hAnsi="仿宋" w:eastAsia="仿宋" w:cs="Times New Roman"/>
          <w:color w:val="auto"/>
          <w:sz w:val="32"/>
          <w:szCs w:val="32"/>
          <w:lang w:val="en-US" w:eastAsia="zh-CN"/>
        </w:rPr>
        <w:t>1</w:t>
      </w:r>
      <w:r>
        <w:rPr>
          <w:rFonts w:hint="eastAsia" w:ascii="仿宋" w:hAnsi="仿宋" w:eastAsia="仿宋" w:cs="Times New Roman"/>
          <w:color w:val="auto"/>
          <w:sz w:val="32"/>
          <w:szCs w:val="32"/>
          <w:lang w:val="en-US" w:eastAsia="zh-CN"/>
        </w:rPr>
        <w:t>类标准。</w:t>
      </w:r>
    </w:p>
    <w:p w14:paraId="159A4270">
      <w:pPr>
        <w:keepNext w:val="0"/>
        <w:keepLines w:val="0"/>
        <w:pageBreakBefore w:val="0"/>
        <w:widowControl w:val="0"/>
        <w:suppressLineNumbers w:val="0"/>
        <w:kinsoku w:val="0"/>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3.落实生态污染防治措施。</w:t>
      </w:r>
      <w:r>
        <w:rPr>
          <w:rFonts w:hint="eastAsia" w:ascii="仿宋" w:hAnsi="仿宋" w:eastAsia="仿宋" w:cs="Times New Roman"/>
          <w:sz w:val="32"/>
          <w:szCs w:val="32"/>
          <w:lang w:val="en-US" w:eastAsia="zh-CN"/>
        </w:rPr>
        <w:t>施工结束后临时用地根据企业规划进行地面硬化或生态修复。</w:t>
      </w:r>
    </w:p>
    <w:p w14:paraId="590ECCCC">
      <w:pPr>
        <w:keepNext w:val="0"/>
        <w:keepLines w:val="0"/>
        <w:pageBreakBefore w:val="0"/>
        <w:widowControl w:val="0"/>
        <w:suppressLineNumbers w:val="0"/>
        <w:kinsoku w:val="0"/>
        <w:wordWrap/>
        <w:overflowPunct/>
        <w:topLinePunct w:val="0"/>
        <w:autoSpaceDE w:val="0"/>
        <w:autoSpaceDN w:val="0"/>
        <w:bidi w:val="0"/>
        <w:adjustRightInd/>
        <w:snapToGrid/>
        <w:spacing w:line="600" w:lineRule="exact"/>
        <w:ind w:left="0" w:leftChars="0" w:firstLine="643" w:firstLineChars="200"/>
        <w:jc w:val="both"/>
        <w:textAlignment w:val="auto"/>
        <w:rPr>
          <w:rFonts w:hint="eastAsia" w:ascii="仿宋" w:hAnsi="仿宋" w:eastAsia="仿宋"/>
          <w:sz w:val="32"/>
          <w:szCs w:val="32"/>
          <w:lang w:val="en-US" w:eastAsia="zh-CN"/>
        </w:rPr>
      </w:pPr>
      <w:r>
        <w:rPr>
          <w:rFonts w:hint="eastAsia" w:ascii="楷体" w:hAnsi="楷体" w:eastAsia="楷体" w:cs="楷体"/>
          <w:b/>
          <w:bCs/>
          <w:sz w:val="32"/>
          <w:szCs w:val="32"/>
          <w:lang w:val="en-US" w:eastAsia="zh-CN"/>
        </w:rPr>
        <w:t>（四）强化环境风险防范和应急措施。</w:t>
      </w:r>
    </w:p>
    <w:p w14:paraId="65C5B7D2">
      <w:pPr>
        <w:keepNext w:val="0"/>
        <w:keepLines w:val="0"/>
        <w:pageBreakBefore w:val="0"/>
        <w:widowControl w:val="0"/>
        <w:suppressLineNumbers w:val="0"/>
        <w:kinsoku w:val="0"/>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你单位应按照相关规定修订和备案突发环境事件应急预案，并与当地政府及相关部门应急预案做好街接，做好应急物资储备，定期进行环境应急培训</w:t>
      </w:r>
      <w:r>
        <w:rPr>
          <w:rFonts w:hint="eastAsia" w:ascii="仿宋" w:hAnsi="仿宋" w:eastAsia="仿宋" w:cs="Times New Roman"/>
          <w:sz w:val="32"/>
          <w:szCs w:val="32"/>
          <w:lang w:val="en-US" w:eastAsia="zh-CN"/>
        </w:rPr>
        <w:t>和演练,有效防范和应对突发环境事件。严格按照《中华人民共和国安全生产法》《建设工程安全生产管理条例》《建设项目安全设施“三同时”监督管理办法》等安全生产相关法律法规和部门规章要求，健全企业内部污染防治设施稳定运行和管理责任制度，在环境保护设施设计、施工、验收、使用和拆除等过程中，认真落实安全生产主体责任，做好安全风险辨识评估和隐患排查治理工作，并及时向相关部门报告有关情况。你单位要与第三方治理企业签订专门的安全生产管理协议，或者在承包合同中约定各自的安全生产管理职责，要对第三方治</w:t>
      </w:r>
    </w:p>
    <w:p w14:paraId="60A1D4BC">
      <w:pPr>
        <w:keepNext w:val="0"/>
        <w:keepLines w:val="0"/>
        <w:pageBreakBefore w:val="0"/>
        <w:widowControl w:val="0"/>
        <w:suppressLineNumbers w:val="0"/>
        <w:kinsoku w:val="0"/>
        <w:wordWrap/>
        <w:overflowPunct/>
        <w:topLinePunct w:val="0"/>
        <w:autoSpaceDE w:val="0"/>
        <w:autoSpaceDN w:val="0"/>
        <w:bidi w:val="0"/>
        <w:adjustRightInd/>
        <w:snapToGrid/>
        <w:spacing w:line="600" w:lineRule="exact"/>
        <w:ind w:left="0" w:leftChars="0" w:firstLine="640" w:firstLineChars="200"/>
        <w:jc w:val="both"/>
        <w:textAlignment w:val="auto"/>
        <w:rPr>
          <w:rFonts w:hint="eastAsia" w:ascii="仿宋" w:hAnsi="仿宋" w:eastAsia="仿宋" w:cs="Times New Roman"/>
          <w:sz w:val="32"/>
          <w:szCs w:val="32"/>
          <w:lang w:val="en-US" w:eastAsia="zh-CN"/>
        </w:rPr>
      </w:pPr>
    </w:p>
    <w:p w14:paraId="7A11D0AA">
      <w:pPr>
        <w:keepNext w:val="0"/>
        <w:keepLines w:val="0"/>
        <w:pageBreakBefore w:val="0"/>
        <w:widowControl w:val="0"/>
        <w:suppressLineNumbers w:val="0"/>
        <w:kinsoku w:val="0"/>
        <w:wordWrap/>
        <w:overflowPunct/>
        <w:topLinePunct w:val="0"/>
        <w:autoSpaceDE w:val="0"/>
        <w:autoSpaceDN w:val="0"/>
        <w:bidi w:val="0"/>
        <w:adjustRightInd/>
        <w:snapToGrid/>
        <w:spacing w:line="600" w:lineRule="exact"/>
        <w:ind w:left="0" w:leftChars="0" w:firstLine="0" w:firstLineChars="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理企业的安全生产工作统一协调、管理，定期进行安全检查，发现安全问题的，应当及时督促整改。</w:t>
      </w:r>
    </w:p>
    <w:p w14:paraId="2C25312B">
      <w:pPr>
        <w:keepNext w:val="0"/>
        <w:keepLines w:val="0"/>
        <w:pageBreakBefore w:val="0"/>
        <w:widowControl w:val="0"/>
        <w:kinsoku w:val="0"/>
        <w:wordWrap/>
        <w:overflowPunct/>
        <w:topLinePunct w:val="0"/>
        <w:autoSpaceDE w:val="0"/>
        <w:autoSpaceDN w:val="0"/>
        <w:bidi w:val="0"/>
        <w:adjustRightInd/>
        <w:snapToGrid/>
        <w:spacing w:line="600" w:lineRule="exact"/>
        <w:ind w:left="0" w:leftChars="0" w:firstLine="630" w:firstLineChars="197"/>
        <w:jc w:val="both"/>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三、</w:t>
      </w:r>
      <w:r>
        <w:rPr>
          <w:rFonts w:hint="eastAsia" w:ascii="仿宋" w:hAnsi="仿宋" w:eastAsia="仿宋" w:cs="Times New Roman"/>
          <w:sz w:val="32"/>
          <w:szCs w:val="32"/>
        </w:rPr>
        <w:t>项目建设必须严格执行配套的环境保护设施与主体工程同时设计，同时施工，同时投入使用的环境保护“三同时”制度。按要求完成竣工环境保护验收，经验收合格，项目方可正式投入运行。</w:t>
      </w:r>
    </w:p>
    <w:p w14:paraId="2BB9AA2D">
      <w:pPr>
        <w:keepNext w:val="0"/>
        <w:keepLines w:val="0"/>
        <w:pageBreakBefore w:val="0"/>
        <w:widowControl w:val="0"/>
        <w:kinsoku w:val="0"/>
        <w:wordWrap/>
        <w:topLinePunct w:val="0"/>
        <w:autoSpaceDE w:val="0"/>
        <w:autoSpaceDN w:val="0"/>
        <w:bidi w:val="0"/>
        <w:adjustRightInd/>
        <w:snapToGrid/>
        <w:spacing w:line="600" w:lineRule="exact"/>
        <w:ind w:firstLine="640" w:firstLineChars="200"/>
        <w:jc w:val="both"/>
        <w:textAlignment w:val="auto"/>
        <w:rPr>
          <w:rFonts w:hint="eastAsia" w:ascii="仿宋" w:eastAsia="仿宋" w:cs="仿宋"/>
          <w:sz w:val="32"/>
          <w:szCs w:val="32"/>
          <w:lang w:bidi="ar-SA"/>
        </w:rPr>
      </w:pPr>
      <w:r>
        <w:rPr>
          <w:rFonts w:hint="eastAsia" w:ascii="仿宋" w:hAnsi="仿宋" w:eastAsia="仿宋" w:cs="Times New Roman"/>
          <w:sz w:val="32"/>
          <w:szCs w:val="32"/>
          <w:lang w:eastAsia="zh-CN"/>
        </w:rPr>
        <w:t>四、如建设项目的性质、规模、地点、生产工艺和环境保护措施五个因素中的一项或一项以上发生重大变动，且可能导致环境影响显著变化（特别是不利环境影响加重）的，应重新报批环境影响评价文件。</w:t>
      </w:r>
    </w:p>
    <w:p w14:paraId="363A2B49">
      <w:pPr>
        <w:keepNext w:val="0"/>
        <w:keepLines w:val="0"/>
        <w:pageBreakBefore w:val="0"/>
        <w:widowControl w:val="0"/>
        <w:kinsoku w:val="0"/>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sz w:val="32"/>
          <w:szCs w:val="32"/>
          <w:lang w:val="en-US" w:eastAsia="zh-CN"/>
        </w:rPr>
        <w:t>国家或地方出台新的法律、法规、排放标准及管理要求，企业应从其规定。</w:t>
      </w:r>
    </w:p>
    <w:p w14:paraId="2181B75B">
      <w:pPr>
        <w:keepNext w:val="0"/>
        <w:keepLines w:val="0"/>
        <w:pageBreakBefore w:val="0"/>
        <w:widowControl w:val="0"/>
        <w:kinsoku w:val="0"/>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由铁岭市生态环境局</w:t>
      </w:r>
      <w:r>
        <w:rPr>
          <w:rFonts w:hint="eastAsia" w:ascii="仿宋" w:hAnsi="仿宋" w:eastAsia="仿宋"/>
          <w:sz w:val="32"/>
          <w:szCs w:val="32"/>
          <w:lang w:val="en-US" w:eastAsia="zh-CN"/>
        </w:rPr>
        <w:t>调兵山</w:t>
      </w:r>
      <w:r>
        <w:rPr>
          <w:rFonts w:hint="eastAsia" w:ascii="仿宋" w:hAnsi="仿宋" w:eastAsia="仿宋"/>
          <w:sz w:val="32"/>
          <w:szCs w:val="32"/>
          <w:lang w:eastAsia="zh-CN"/>
        </w:rPr>
        <w:t>市</w:t>
      </w:r>
      <w:r>
        <w:rPr>
          <w:rFonts w:hint="eastAsia" w:ascii="仿宋" w:hAnsi="仿宋" w:eastAsia="仿宋"/>
          <w:sz w:val="32"/>
          <w:szCs w:val="32"/>
        </w:rPr>
        <w:t xml:space="preserve">分局负责该项目的环境保护日常监督检查工作。 </w:t>
      </w:r>
    </w:p>
    <w:p w14:paraId="16ADA527">
      <w:pPr>
        <w:keepNext w:val="0"/>
        <w:keepLines w:val="0"/>
        <w:pageBreakBefore w:val="0"/>
        <w:widowControl w:val="0"/>
        <w:kinsoku w:val="0"/>
        <w:wordWrap/>
        <w:overflowPunct/>
        <w:topLinePunct w:val="0"/>
        <w:autoSpaceDE w:val="0"/>
        <w:autoSpaceDN w:val="0"/>
        <w:bidi w:val="0"/>
        <w:adjustRightInd/>
        <w:snapToGrid/>
        <w:spacing w:line="600" w:lineRule="exact"/>
        <w:ind w:firstLine="4800" w:firstLineChars="1500"/>
        <w:jc w:val="both"/>
        <w:textAlignment w:val="auto"/>
        <w:rPr>
          <w:rFonts w:hint="eastAsia" w:ascii="仿宋" w:hAnsi="仿宋" w:eastAsia="仿宋"/>
          <w:sz w:val="32"/>
          <w:szCs w:val="32"/>
        </w:rPr>
      </w:pPr>
    </w:p>
    <w:p w14:paraId="3F435BAA">
      <w:pPr>
        <w:keepNext w:val="0"/>
        <w:keepLines w:val="0"/>
        <w:pageBreakBefore w:val="0"/>
        <w:widowControl w:val="0"/>
        <w:kinsoku w:val="0"/>
        <w:wordWrap/>
        <w:overflowPunct/>
        <w:topLinePunct w:val="0"/>
        <w:autoSpaceDE w:val="0"/>
        <w:autoSpaceDN w:val="0"/>
        <w:bidi w:val="0"/>
        <w:adjustRightInd/>
        <w:snapToGrid/>
        <w:spacing w:line="600" w:lineRule="exact"/>
        <w:ind w:firstLine="4960" w:firstLineChars="1550"/>
        <w:jc w:val="both"/>
        <w:textAlignment w:val="auto"/>
        <w:rPr>
          <w:rFonts w:hint="eastAsia" w:ascii="仿宋" w:hAnsi="仿宋" w:eastAsia="仿宋"/>
          <w:sz w:val="32"/>
          <w:szCs w:val="32"/>
        </w:rPr>
      </w:pPr>
    </w:p>
    <w:p w14:paraId="0BC51118">
      <w:pPr>
        <w:keepNext w:val="0"/>
        <w:keepLines w:val="0"/>
        <w:pageBreakBefore w:val="0"/>
        <w:widowControl w:val="0"/>
        <w:kinsoku w:val="0"/>
        <w:wordWrap/>
        <w:overflowPunct/>
        <w:topLinePunct w:val="0"/>
        <w:autoSpaceDE w:val="0"/>
        <w:autoSpaceDN w:val="0"/>
        <w:bidi w:val="0"/>
        <w:adjustRightInd/>
        <w:snapToGrid/>
        <w:spacing w:line="600" w:lineRule="exact"/>
        <w:ind w:left="0" w:leftChars="0"/>
        <w:jc w:val="both"/>
        <w:textAlignment w:val="auto"/>
      </w:pPr>
    </w:p>
    <w:sectPr>
      <w:footerReference r:id="rId3" w:type="default"/>
      <w:footerReference r:id="rId4" w:type="even"/>
      <w:pgSz w:w="11906" w:h="16838"/>
      <w:pgMar w:top="1417" w:right="1531" w:bottom="1417"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997D5">
    <w:pPr>
      <w:pStyle w:val="7"/>
      <w:rPr>
        <w:rStyle w:val="14"/>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9B03E7">
                          <w:pPr>
                            <w:pStyle w:val="7"/>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D9B03E7">
                    <w:pPr>
                      <w:pStyle w:val="7"/>
                    </w:pPr>
                    <w:r>
                      <w:fldChar w:fldCharType="begin"/>
                    </w:r>
                    <w:r>
                      <w:instrText xml:space="preserve"> PAGE  \* MERGEFORMAT </w:instrText>
                    </w:r>
                    <w:r>
                      <w:fldChar w:fldCharType="separate"/>
                    </w:r>
                    <w:r>
                      <w:t>25</w:t>
                    </w:r>
                    <w:r>
                      <w:fldChar w:fldCharType="end"/>
                    </w:r>
                  </w:p>
                </w:txbxContent>
              </v:textbox>
            </v:shape>
          </w:pict>
        </mc:Fallback>
      </mc:AlternateContent>
    </w:r>
  </w:p>
  <w:p w14:paraId="73DF09FC">
    <w:pPr>
      <w:pStyle w:val="7"/>
      <w:rPr>
        <w:rStyle w:val="14"/>
        <w:rFonts w:hint="eastAsia"/>
      </w:rPr>
    </w:pPr>
  </w:p>
  <w:p w14:paraId="2DE1A30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BC32">
    <w:pPr>
      <w:pStyle w:val="7"/>
      <w:framePr w:wrap="around" w:vAnchor="text" w:hAnchor="margin" w:xAlign="center" w:y="1"/>
      <w:rPr>
        <w:rStyle w:val="14"/>
      </w:rPr>
    </w:pPr>
    <w:r>
      <w:fldChar w:fldCharType="begin"/>
    </w:r>
    <w:r>
      <w:rPr>
        <w:rStyle w:val="14"/>
      </w:rPr>
      <w:instrText xml:space="preserve">PAGE  </w:instrText>
    </w:r>
    <w:r>
      <w:fldChar w:fldCharType="end"/>
    </w:r>
  </w:p>
  <w:p w14:paraId="5F80A8F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MDM5ZjI2MmRhNWE2NGJjZjgyZmNhYzM2ZDBkODEifQ=="/>
  </w:docVars>
  <w:rsids>
    <w:rsidRoot w:val="2213271A"/>
    <w:rsid w:val="0281282A"/>
    <w:rsid w:val="061834A6"/>
    <w:rsid w:val="069A766F"/>
    <w:rsid w:val="07D35C53"/>
    <w:rsid w:val="085602B5"/>
    <w:rsid w:val="0C0F5B9E"/>
    <w:rsid w:val="17FF1BF0"/>
    <w:rsid w:val="1C3F718B"/>
    <w:rsid w:val="1D047E88"/>
    <w:rsid w:val="1FAE057F"/>
    <w:rsid w:val="1FC726F0"/>
    <w:rsid w:val="1FCF4FB1"/>
    <w:rsid w:val="2213271A"/>
    <w:rsid w:val="27CB7F20"/>
    <w:rsid w:val="2AAA6BC9"/>
    <w:rsid w:val="2BBFC86D"/>
    <w:rsid w:val="2EA47375"/>
    <w:rsid w:val="2EBC1FA8"/>
    <w:rsid w:val="2F77B6CC"/>
    <w:rsid w:val="31632F0C"/>
    <w:rsid w:val="31EBE24D"/>
    <w:rsid w:val="31FFE5E7"/>
    <w:rsid w:val="33C81008"/>
    <w:rsid w:val="369F99E8"/>
    <w:rsid w:val="376F6127"/>
    <w:rsid w:val="37FFAB14"/>
    <w:rsid w:val="389E3D82"/>
    <w:rsid w:val="3A5D669B"/>
    <w:rsid w:val="3AEE384C"/>
    <w:rsid w:val="3BAF03DD"/>
    <w:rsid w:val="3BBD60F7"/>
    <w:rsid w:val="3BF981AD"/>
    <w:rsid w:val="3CA84013"/>
    <w:rsid w:val="3CEBE28A"/>
    <w:rsid w:val="3F27ACFA"/>
    <w:rsid w:val="3F8576ED"/>
    <w:rsid w:val="3FAFE498"/>
    <w:rsid w:val="41087697"/>
    <w:rsid w:val="42C54B2F"/>
    <w:rsid w:val="43DF9D7D"/>
    <w:rsid w:val="4B73C693"/>
    <w:rsid w:val="4D3F2736"/>
    <w:rsid w:val="4E363841"/>
    <w:rsid w:val="4FB64CD9"/>
    <w:rsid w:val="4FBD7041"/>
    <w:rsid w:val="4FDAAC12"/>
    <w:rsid w:val="4FFDCD7F"/>
    <w:rsid w:val="576E6686"/>
    <w:rsid w:val="5774E96E"/>
    <w:rsid w:val="5A7F2D35"/>
    <w:rsid w:val="5EFE6E25"/>
    <w:rsid w:val="5F676AC0"/>
    <w:rsid w:val="5FBC5DC5"/>
    <w:rsid w:val="5FCD66CA"/>
    <w:rsid w:val="5FEF4E59"/>
    <w:rsid w:val="5FFB226D"/>
    <w:rsid w:val="617B9E87"/>
    <w:rsid w:val="61C64CD9"/>
    <w:rsid w:val="634E31D8"/>
    <w:rsid w:val="66FF2C8F"/>
    <w:rsid w:val="67AF6E2A"/>
    <w:rsid w:val="68AB9866"/>
    <w:rsid w:val="69930349"/>
    <w:rsid w:val="6BBFACD8"/>
    <w:rsid w:val="6E7E1DFF"/>
    <w:rsid w:val="6F5222A2"/>
    <w:rsid w:val="6F9FA95C"/>
    <w:rsid w:val="6FA1AF8F"/>
    <w:rsid w:val="6FEC134D"/>
    <w:rsid w:val="6FFCD954"/>
    <w:rsid w:val="7177C71F"/>
    <w:rsid w:val="71E5A7EE"/>
    <w:rsid w:val="736313F3"/>
    <w:rsid w:val="73FF863E"/>
    <w:rsid w:val="74FF5477"/>
    <w:rsid w:val="757A4BA1"/>
    <w:rsid w:val="75EF166E"/>
    <w:rsid w:val="75F7FE3E"/>
    <w:rsid w:val="75FE283B"/>
    <w:rsid w:val="779551B6"/>
    <w:rsid w:val="77BD9ED5"/>
    <w:rsid w:val="77DF53D3"/>
    <w:rsid w:val="77EDCC28"/>
    <w:rsid w:val="7A7FFCAB"/>
    <w:rsid w:val="7ABF73D1"/>
    <w:rsid w:val="7AF58BB5"/>
    <w:rsid w:val="7AFF460D"/>
    <w:rsid w:val="7B6808B8"/>
    <w:rsid w:val="7BDB8833"/>
    <w:rsid w:val="7BE350CF"/>
    <w:rsid w:val="7BE7DBF7"/>
    <w:rsid w:val="7C676B30"/>
    <w:rsid w:val="7CA36E25"/>
    <w:rsid w:val="7CF6ADE7"/>
    <w:rsid w:val="7CFA3FB1"/>
    <w:rsid w:val="7D3EEC09"/>
    <w:rsid w:val="7EDB5A22"/>
    <w:rsid w:val="7EDF30EF"/>
    <w:rsid w:val="7EFDB141"/>
    <w:rsid w:val="7F7A221C"/>
    <w:rsid w:val="7FAD9942"/>
    <w:rsid w:val="7FBB3820"/>
    <w:rsid w:val="7FBB63D5"/>
    <w:rsid w:val="7FBEECB8"/>
    <w:rsid w:val="7FCEB784"/>
    <w:rsid w:val="7FF033DA"/>
    <w:rsid w:val="7FFA4954"/>
    <w:rsid w:val="7FFB1B3B"/>
    <w:rsid w:val="7FFBFBF5"/>
    <w:rsid w:val="7FFC82BA"/>
    <w:rsid w:val="7FFD6A61"/>
    <w:rsid w:val="7FFE64DB"/>
    <w:rsid w:val="7FFE88C2"/>
    <w:rsid w:val="8BDECFD8"/>
    <w:rsid w:val="8EF878A8"/>
    <w:rsid w:val="9E6FA280"/>
    <w:rsid w:val="9EFB0A06"/>
    <w:rsid w:val="A667D8A9"/>
    <w:rsid w:val="ADFBD95E"/>
    <w:rsid w:val="AFF3F5FB"/>
    <w:rsid w:val="B6DFBFD6"/>
    <w:rsid w:val="BBBAFDD8"/>
    <w:rsid w:val="BD358E5A"/>
    <w:rsid w:val="BDCFD77B"/>
    <w:rsid w:val="BEEF8D2B"/>
    <w:rsid w:val="BEF72AE3"/>
    <w:rsid w:val="BF92D65C"/>
    <w:rsid w:val="BFBB7349"/>
    <w:rsid w:val="BFBBEDF9"/>
    <w:rsid w:val="BFF56321"/>
    <w:rsid w:val="BFFCE7B7"/>
    <w:rsid w:val="BFFDDB47"/>
    <w:rsid w:val="BFFDED50"/>
    <w:rsid w:val="BFFED9F6"/>
    <w:rsid w:val="C6BD59DC"/>
    <w:rsid w:val="CFFE1383"/>
    <w:rsid w:val="D6B237AD"/>
    <w:rsid w:val="D7DF9A43"/>
    <w:rsid w:val="D7EAC76C"/>
    <w:rsid w:val="DCD7C8F9"/>
    <w:rsid w:val="DE5EAD07"/>
    <w:rsid w:val="DEBBCED5"/>
    <w:rsid w:val="DF6FE2FB"/>
    <w:rsid w:val="DF7F762A"/>
    <w:rsid w:val="DFBFE15E"/>
    <w:rsid w:val="DFCB8146"/>
    <w:rsid w:val="DFDF6830"/>
    <w:rsid w:val="DFF99BD3"/>
    <w:rsid w:val="E2B2556B"/>
    <w:rsid w:val="ECE0F7A5"/>
    <w:rsid w:val="ECFF02DF"/>
    <w:rsid w:val="ED744D20"/>
    <w:rsid w:val="EEF94D9E"/>
    <w:rsid w:val="EFBCC3BA"/>
    <w:rsid w:val="EFBFCEE5"/>
    <w:rsid w:val="F1F71DDA"/>
    <w:rsid w:val="F2BD49CD"/>
    <w:rsid w:val="F3F5DD32"/>
    <w:rsid w:val="F5C5CC64"/>
    <w:rsid w:val="F6BFD064"/>
    <w:rsid w:val="F7F5AA88"/>
    <w:rsid w:val="F7F7D48E"/>
    <w:rsid w:val="F7FC3B33"/>
    <w:rsid w:val="F7FF2254"/>
    <w:rsid w:val="F9FE3BD1"/>
    <w:rsid w:val="F9FF6A01"/>
    <w:rsid w:val="FBFBA518"/>
    <w:rsid w:val="FCDD00C1"/>
    <w:rsid w:val="FD7750E9"/>
    <w:rsid w:val="FDBF399C"/>
    <w:rsid w:val="FDD731AA"/>
    <w:rsid w:val="FDFBC9F4"/>
    <w:rsid w:val="FDFF33B3"/>
    <w:rsid w:val="FDFF5D62"/>
    <w:rsid w:val="FE5B63C5"/>
    <w:rsid w:val="FEC79E94"/>
    <w:rsid w:val="FEDF462B"/>
    <w:rsid w:val="FEEF407B"/>
    <w:rsid w:val="FF5C0668"/>
    <w:rsid w:val="FF7753EC"/>
    <w:rsid w:val="FF97DFA2"/>
    <w:rsid w:val="FF9F378B"/>
    <w:rsid w:val="FFBFA332"/>
    <w:rsid w:val="FFBFDF5F"/>
    <w:rsid w:val="FFCDF94F"/>
    <w:rsid w:val="FFCE3CDC"/>
    <w:rsid w:val="FFCEA992"/>
    <w:rsid w:val="FFD773D2"/>
    <w:rsid w:val="FFEDB5D5"/>
    <w:rsid w:val="FFEFF4F2"/>
    <w:rsid w:val="FFF53E2B"/>
    <w:rsid w:val="FFF8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00" w:lineRule="auto"/>
      <w:ind w:left="-50" w:leftChars="-50" w:firstLine="482"/>
      <w:jc w:val="left"/>
    </w:pPr>
    <w:rPr>
      <w:sz w:val="24"/>
      <w:szCs w:val="20"/>
    </w:rPr>
  </w:style>
  <w:style w:type="paragraph" w:styleId="3">
    <w:name w:val="Body Text"/>
    <w:basedOn w:val="1"/>
    <w:next w:val="4"/>
    <w:qFormat/>
    <w:uiPriority w:val="1"/>
    <w:rPr>
      <w:szCs w:val="21"/>
    </w:rPr>
  </w:style>
  <w:style w:type="paragraph" w:styleId="4">
    <w:name w:val="toc 1"/>
    <w:basedOn w:val="1"/>
    <w:next w:val="1"/>
    <w:qFormat/>
    <w:uiPriority w:val="0"/>
    <w:pPr>
      <w:jc w:val="center"/>
    </w:pPr>
  </w:style>
  <w:style w:type="paragraph" w:styleId="5">
    <w:name w:val="Body Text Indent"/>
    <w:basedOn w:val="1"/>
    <w:next w:val="6"/>
    <w:qFormat/>
    <w:uiPriority w:val="0"/>
    <w:pPr>
      <w:spacing w:after="120"/>
      <w:ind w:left="420" w:leftChars="200"/>
    </w:pPr>
  </w:style>
  <w:style w:type="paragraph" w:styleId="6">
    <w:name w:val="Body Text First Indent 2"/>
    <w:basedOn w:val="5"/>
    <w:next w:val="1"/>
    <w:unhideWhenUsed/>
    <w:qFormat/>
    <w:uiPriority w:val="0"/>
    <w:pPr>
      <w:ind w:firstLine="420" w:firstLineChars="200"/>
    </w:p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next w:val="9"/>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样式5"/>
    <w:basedOn w:val="2"/>
    <w:next w:val="1"/>
    <w:qFormat/>
    <w:uiPriority w:val="0"/>
    <w:pPr>
      <w:adjustRightInd w:val="0"/>
      <w:snapToGrid w:val="0"/>
      <w:spacing w:line="360" w:lineRule="auto"/>
      <w:jc w:val="left"/>
      <w:textAlignment w:val="baseline"/>
    </w:pPr>
    <w:rPr>
      <w:kern w:val="0"/>
      <w:sz w:val="24"/>
    </w:rPr>
  </w:style>
  <w:style w:type="paragraph" w:styleId="10">
    <w:name w:val="List"/>
    <w:basedOn w:val="1"/>
    <w:qFormat/>
    <w:uiPriority w:val="0"/>
    <w:pPr>
      <w:ind w:left="200" w:hanging="200" w:hangingChars="200"/>
      <w:contextualSpacing/>
    </w:pPr>
    <w:rPr>
      <w:kern w:val="0"/>
    </w:rPr>
  </w:style>
  <w:style w:type="paragraph" w:styleId="11">
    <w:name w:val="Body Text First Indent"/>
    <w:basedOn w:val="3"/>
    <w:next w:val="1"/>
    <w:qFormat/>
    <w:uiPriority w:val="99"/>
    <w:pPr>
      <w:ind w:firstLine="420" w:firstLineChars="100"/>
    </w:pPr>
  </w:style>
  <w:style w:type="character" w:styleId="14">
    <w:name w:val="page number"/>
    <w:basedOn w:val="13"/>
    <w:qFormat/>
    <w:uiPriority w:val="0"/>
  </w:style>
  <w:style w:type="paragraph" w:customStyle="1" w:styleId="15">
    <w:name w:val="0正文"/>
    <w:basedOn w:val="5"/>
    <w:next w:val="1"/>
    <w:unhideWhenUsed/>
    <w:qFormat/>
    <w:uiPriority w:val="99"/>
    <w:pPr>
      <w:widowControl w:val="0"/>
      <w:spacing w:line="360" w:lineRule="auto"/>
      <w:ind w:firstLine="720" w:firstLineChars="200"/>
    </w:pPr>
    <w:rPr>
      <w:rFonts w:ascii="Times New Roman" w:hAnsi="Times New Roman" w:eastAsia="宋体" w:cs="Times New Roman"/>
      <w:sz w:val="24"/>
      <w:lang w:val="en-US" w:eastAsia="zh-CN" w:bidi="ar-SA"/>
    </w:rPr>
  </w:style>
  <w:style w:type="paragraph" w:customStyle="1" w:styleId="16">
    <w:name w:val="表格内"/>
    <w:basedOn w:val="1"/>
    <w:qFormat/>
    <w:uiPriority w:val="0"/>
    <w:pPr>
      <w:adjustRightInd w:val="0"/>
      <w:spacing w:line="240" w:lineRule="atLeast"/>
      <w:jc w:val="center"/>
      <w:textAlignment w:val="baseline"/>
    </w:pPr>
    <w:rPr>
      <w:rFonts w:ascii="宋体" w:hAnsi="Times New Roman"/>
      <w:kern w:val="0"/>
      <w:szCs w:val="20"/>
    </w:rPr>
  </w:style>
  <w:style w:type="paragraph" w:customStyle="1" w:styleId="17">
    <w:name w:val="Table Paragraph"/>
    <w:basedOn w:val="1"/>
    <w:qFormat/>
    <w:uiPriority w:val="1"/>
    <w:rPr>
      <w:rFonts w:ascii="宋体" w:hAnsi="宋体" w:cs="宋体"/>
      <w:lang w:val="zh-CN" w:bidi="zh-CN"/>
    </w:rPr>
  </w:style>
  <w:style w:type="character" w:customStyle="1" w:styleId="18">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1723</Words>
  <Characters>1793</Characters>
  <Lines>0</Lines>
  <Paragraphs>0</Paragraphs>
  <TotalTime>174</TotalTime>
  <ScaleCrop>false</ScaleCrop>
  <LinksUpToDate>false</LinksUpToDate>
  <CharactersWithSpaces>2924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2024-08-11T16:40:00Z</dcterms:created>
  <dc:creator>lenovo</dc:creator>
  <cp:lastModifiedBy>Friend</cp:lastModifiedBy>
  <cp:lastPrinted>2025-04-02T07:50:00Z</cp:lastPrinted>
  <dcterms:modified xsi:type="dcterms:W3CDTF">2025-04-29T07:28:55Z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2396022BD3D24F1D9A6DBE9B735C60C7_13</vt:lpwstr>
  </property>
  <property fmtid="{D5CDD505-2E9C-101B-9397-08002B2CF9AE}" pid="4" name="KSOTemplateDocerSaveRecord">
    <vt:lpwstr>eyJoZGlkIjoiNDk3ZDEyZDVkYmUwNTNmNjBjMmIxYmQxNzlhYTMxNTIiLCJ1c2VySWQiOiIzODYwMTY0MzUifQ==</vt:lpwstr>
  </property>
</Properties>
</file>