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12C83">
      <w:pPr>
        <w:spacing w:line="360" w:lineRule="exact"/>
        <w:rPr>
          <w:spacing w:val="-5"/>
          <w:szCs w:val="21"/>
        </w:rPr>
      </w:pPr>
      <w:bookmarkStart w:id="0" w:name="_Toc142890354"/>
    </w:p>
    <w:p w14:paraId="74E42C3C">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16EFF5BC">
      <w:pPr>
        <w:adjustRightInd w:val="0"/>
        <w:spacing w:line="360" w:lineRule="exact"/>
        <w:jc w:val="center"/>
        <w:rPr>
          <w:rFonts w:ascii="宋体" w:hAnsi="宋体"/>
          <w:spacing w:val="-4"/>
          <w:szCs w:val="21"/>
        </w:rPr>
      </w:pPr>
      <w:r>
        <w:rPr>
          <w:rFonts w:hint="eastAsia" w:ascii="宋体" w:hAnsi="宋体"/>
          <w:spacing w:val="-4"/>
          <w:szCs w:val="21"/>
        </w:rPr>
        <w:t>同意设置铁法煤业（集团）有限责任公司大隆矿的</w:t>
      </w:r>
      <w:r>
        <w:rPr>
          <w:rFonts w:ascii="宋体" w:hAnsi="宋体"/>
          <w:spacing w:val="-4"/>
          <w:szCs w:val="21"/>
        </w:rPr>
        <w:t>决定书</w:t>
      </w:r>
    </w:p>
    <w:p w14:paraId="4A43A193">
      <w:pPr>
        <w:adjustRightInd w:val="0"/>
        <w:spacing w:line="360" w:lineRule="exact"/>
        <w:rPr>
          <w:rFonts w:hint="default"/>
          <w:lang w:val="en-US" w:eastAsia="zh-CN"/>
        </w:rPr>
      </w:pPr>
      <w:r>
        <w:rPr>
          <w:rFonts w:hint="eastAsia" w:ascii="宋体" w:hAnsi="宋体"/>
          <w:spacing w:val="-4"/>
          <w:szCs w:val="21"/>
        </w:rPr>
        <w:t>铁法煤业（集团）有限责任公司大</w:t>
      </w:r>
      <w:r>
        <w:rPr>
          <w:rFonts w:hint="eastAsia" w:ascii="宋体" w:hAnsi="宋体"/>
          <w:spacing w:val="-4"/>
          <w:szCs w:val="21"/>
          <w:lang w:val="en-US" w:eastAsia="zh-CN"/>
        </w:rPr>
        <w:t>隆</w:t>
      </w:r>
      <w:r>
        <w:rPr>
          <w:rFonts w:hint="eastAsia" w:ascii="宋体" w:hAnsi="宋体"/>
          <w:spacing w:val="-4"/>
          <w:szCs w:val="21"/>
        </w:rPr>
        <w:t>煤矿</w:t>
      </w:r>
      <w:r>
        <w:rPr>
          <w:rFonts w:ascii="宋体" w:hAnsi="宋体"/>
          <w:kern w:val="0"/>
          <w:szCs w:val="21"/>
          <w:lang w:val="zh-TW" w:eastAsia="zh-TW"/>
        </w:rPr>
        <w:t>：</w:t>
      </w:r>
    </w:p>
    <w:p w14:paraId="35C1C7B7">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3</w:t>
      </w:r>
      <w:r>
        <w:rPr>
          <w:rFonts w:ascii="宋体" w:hAnsi="宋体" w:eastAsia="宋体"/>
          <w:spacing w:val="-6"/>
          <w:sz w:val="21"/>
          <w:szCs w:val="21"/>
          <w:lang w:eastAsia="zh-CN"/>
        </w:rPr>
        <w:t>月</w:t>
      </w:r>
      <w:r>
        <w:rPr>
          <w:rFonts w:hint="eastAsia" w:ascii="宋体" w:hAnsi="宋体" w:eastAsia="宋体"/>
          <w:spacing w:val="-6"/>
          <w:sz w:val="21"/>
          <w:szCs w:val="21"/>
          <w:lang w:eastAsia="zh-CN"/>
        </w:rPr>
        <w:t>1</w:t>
      </w:r>
      <w:r>
        <w:rPr>
          <w:rFonts w:hint="eastAsia" w:ascii="宋体" w:hAnsi="宋体" w:eastAsia="宋体"/>
          <w:spacing w:val="-6"/>
          <w:sz w:val="21"/>
          <w:szCs w:val="21"/>
          <w:lang w:val="en-US" w:eastAsia="zh-CN"/>
        </w:rPr>
        <w:t>8</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铁法煤业（集团）有限责任公司大隆矿入河排污口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同意铁法煤业（集团）有限责任公司大隆矿入河排污口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6630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32464C6D">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4EF51BE0">
            <w:pPr>
              <w:widowControl/>
              <w:spacing w:line="360" w:lineRule="exact"/>
            </w:pPr>
            <w:r>
              <w:rPr>
                <w:szCs w:val="20"/>
              </w:rPr>
              <w:sym w:font="Wingdings 2" w:char="0052"/>
            </w:r>
            <w:r>
              <w:rPr>
                <w:rFonts w:hint="eastAsia"/>
              </w:rPr>
              <w:t>工矿企业入河排污口</w:t>
            </w:r>
          </w:p>
          <w:p w14:paraId="7405C5DB">
            <w:pPr>
              <w:widowControl/>
              <w:spacing w:line="360" w:lineRule="exact"/>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778D0D0B">
            <w:pPr>
              <w:widowControl/>
              <w:spacing w:line="360" w:lineRule="exact"/>
            </w:pPr>
            <w:r>
              <w:rPr>
                <w:szCs w:val="20"/>
              </w:rPr>
              <w:sym w:font="Wingdings 2" w:char="00A3"/>
            </w:r>
            <w:r>
              <w:rPr>
                <w:rFonts w:hint="eastAsia"/>
              </w:rPr>
              <w:t>城镇污水处理厂入河排污口</w:t>
            </w:r>
          </w:p>
          <w:p w14:paraId="4FBAF1CD">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558D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88463CC">
            <w:pPr>
              <w:widowControl/>
              <w:spacing w:line="360" w:lineRule="exact"/>
              <w:jc w:val="center"/>
              <w:rPr>
                <w:szCs w:val="21"/>
              </w:rPr>
            </w:pPr>
            <w:r>
              <w:rPr>
                <w:rFonts w:hint="eastAsia"/>
                <w:szCs w:val="21"/>
              </w:rPr>
              <w:t>入河排污口名称</w:t>
            </w:r>
          </w:p>
        </w:tc>
        <w:tc>
          <w:tcPr>
            <w:tcW w:w="6115" w:type="dxa"/>
            <w:gridSpan w:val="6"/>
            <w:vAlign w:val="center"/>
          </w:tcPr>
          <w:p w14:paraId="0E5C15A2">
            <w:pPr>
              <w:widowControl/>
              <w:spacing w:line="360" w:lineRule="exact"/>
              <w:rPr>
                <w:szCs w:val="20"/>
              </w:rPr>
            </w:pPr>
            <w:r>
              <w:rPr>
                <w:rFonts w:hint="eastAsia"/>
                <w:szCs w:val="20"/>
              </w:rPr>
              <w:t>按照HJ1235规定予以命名：铁岭市调兵山市铁法煤业（集团）有限责任公司大隆矿西排污口</w:t>
            </w:r>
          </w:p>
        </w:tc>
      </w:tr>
      <w:tr w14:paraId="0C01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A448C54">
            <w:pPr>
              <w:widowControl/>
              <w:spacing w:line="360" w:lineRule="exact"/>
              <w:jc w:val="center"/>
              <w:rPr>
                <w:szCs w:val="21"/>
              </w:rPr>
            </w:pPr>
            <w:r>
              <w:rPr>
                <w:rFonts w:hint="eastAsia"/>
                <w:szCs w:val="21"/>
              </w:rPr>
              <w:t>入河排污口编码</w:t>
            </w:r>
          </w:p>
        </w:tc>
        <w:tc>
          <w:tcPr>
            <w:tcW w:w="6115" w:type="dxa"/>
            <w:gridSpan w:val="6"/>
            <w:vAlign w:val="center"/>
          </w:tcPr>
          <w:p w14:paraId="1A47065C">
            <w:pPr>
              <w:rPr>
                <w:szCs w:val="20"/>
              </w:rPr>
            </w:pPr>
            <w:r>
              <w:rPr>
                <w:rFonts w:hint="eastAsia"/>
                <w:szCs w:val="20"/>
              </w:rPr>
              <w:t>按照HJ1235规定予以编码：BA-211281-0011-GY-00</w:t>
            </w:r>
          </w:p>
        </w:tc>
      </w:tr>
      <w:tr w14:paraId="65AC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C13EBE6">
            <w:pPr>
              <w:widowControl/>
              <w:spacing w:line="360" w:lineRule="exact"/>
              <w:jc w:val="center"/>
              <w:rPr>
                <w:szCs w:val="21"/>
              </w:rPr>
            </w:pPr>
            <w:r>
              <w:rPr>
                <w:rFonts w:hint="eastAsia"/>
                <w:szCs w:val="21"/>
              </w:rPr>
              <w:t>设置类型</w:t>
            </w:r>
          </w:p>
        </w:tc>
        <w:tc>
          <w:tcPr>
            <w:tcW w:w="6115" w:type="dxa"/>
            <w:gridSpan w:val="6"/>
            <w:vAlign w:val="center"/>
          </w:tcPr>
          <w:p w14:paraId="6AA627F3">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7A2A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60D79DB6">
            <w:pPr>
              <w:widowControl/>
              <w:spacing w:line="360" w:lineRule="exact"/>
              <w:rPr>
                <w:szCs w:val="20"/>
              </w:rPr>
            </w:pPr>
            <w:r>
              <w:rPr>
                <w:rFonts w:hint="eastAsia"/>
                <w:szCs w:val="20"/>
              </w:rPr>
              <w:t>责任主体基本情况</w:t>
            </w:r>
          </w:p>
        </w:tc>
      </w:tr>
      <w:tr w14:paraId="2064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72DF5D4A">
            <w:pPr>
              <w:widowControl/>
              <w:spacing w:line="360" w:lineRule="exact"/>
              <w:rPr>
                <w:kern w:val="0"/>
                <w:szCs w:val="21"/>
              </w:rPr>
            </w:pPr>
            <w:r>
              <w:rPr>
                <w:rFonts w:hint="eastAsia"/>
                <w:kern w:val="0"/>
                <w:szCs w:val="21"/>
              </w:rPr>
              <w:t>责任主体名称：铁法煤业（集团）有限责任公司大隆矿</w:t>
            </w:r>
          </w:p>
        </w:tc>
      </w:tr>
      <w:tr w14:paraId="40F2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01337BEF">
            <w:pPr>
              <w:widowControl/>
              <w:spacing w:line="360" w:lineRule="exact"/>
              <w:jc w:val="center"/>
              <w:rPr>
                <w:kern w:val="0"/>
                <w:szCs w:val="21"/>
              </w:rPr>
            </w:pPr>
            <w:r>
              <w:rPr>
                <w:rFonts w:hint="eastAsia"/>
                <w:kern w:val="0"/>
                <w:szCs w:val="21"/>
              </w:rPr>
              <w:t>详细地址</w:t>
            </w:r>
          </w:p>
        </w:tc>
        <w:tc>
          <w:tcPr>
            <w:tcW w:w="6115" w:type="dxa"/>
            <w:gridSpan w:val="6"/>
            <w:vAlign w:val="center"/>
          </w:tcPr>
          <w:p w14:paraId="0DB9A558">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调兵山</w:t>
            </w:r>
            <w:r>
              <w:rPr>
                <w:szCs w:val="21"/>
                <w:u w:val="single"/>
              </w:rPr>
              <w:t xml:space="preserve"> </w:t>
            </w:r>
            <w:r>
              <w:rPr>
                <w:rFonts w:hint="eastAsia"/>
                <w:szCs w:val="21"/>
              </w:rPr>
              <w:t>县（区、旗）</w:t>
            </w:r>
            <w:r>
              <w:rPr>
                <w:szCs w:val="21"/>
                <w:u w:val="single"/>
              </w:rPr>
              <w:t xml:space="preserve"> </w:t>
            </w:r>
            <w:r>
              <w:rPr>
                <w:rFonts w:hint="eastAsia"/>
                <w:szCs w:val="21"/>
                <w:u w:val="single"/>
              </w:rPr>
              <w:t>晓明</w:t>
            </w:r>
            <w:r>
              <w:rPr>
                <w:szCs w:val="21"/>
                <w:u w:val="single"/>
              </w:rPr>
              <w:t xml:space="preserve"> </w:t>
            </w:r>
            <w:r>
              <w:rPr>
                <w:rFonts w:hint="eastAsia"/>
                <w:szCs w:val="21"/>
              </w:rPr>
              <w:t>乡（镇、街道）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7184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76E7B6A8">
            <w:pPr>
              <w:widowControl/>
              <w:spacing w:line="360" w:lineRule="exact"/>
              <w:jc w:val="center"/>
              <w:rPr>
                <w:szCs w:val="21"/>
              </w:rPr>
            </w:pPr>
            <w:r>
              <w:rPr>
                <w:rFonts w:hint="eastAsia"/>
                <w:szCs w:val="21"/>
              </w:rPr>
              <w:t>统一社会信用代码</w:t>
            </w:r>
          </w:p>
        </w:tc>
        <w:tc>
          <w:tcPr>
            <w:tcW w:w="6115" w:type="dxa"/>
            <w:gridSpan w:val="6"/>
            <w:vAlign w:val="center"/>
          </w:tcPr>
          <w:p w14:paraId="71F27B1E">
            <w:pPr>
              <w:widowControl/>
              <w:spacing w:line="360" w:lineRule="exact"/>
            </w:pPr>
            <w:r>
              <w:rPr>
                <w:rFonts w:hint="eastAsia"/>
              </w:rPr>
              <w:t>91211281823810231M</w:t>
            </w:r>
          </w:p>
        </w:tc>
      </w:tr>
      <w:tr w14:paraId="33EB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316A7479">
            <w:pPr>
              <w:widowControl/>
              <w:spacing w:line="360" w:lineRule="exact"/>
              <w:jc w:val="center"/>
              <w:rPr>
                <w:szCs w:val="21"/>
              </w:rPr>
            </w:pPr>
            <w:r>
              <w:rPr>
                <w:rFonts w:hint="eastAsia"/>
                <w:szCs w:val="21"/>
              </w:rPr>
              <w:t>法定代表人及联系电话</w:t>
            </w:r>
          </w:p>
        </w:tc>
        <w:tc>
          <w:tcPr>
            <w:tcW w:w="6115" w:type="dxa"/>
            <w:gridSpan w:val="6"/>
            <w:vAlign w:val="center"/>
          </w:tcPr>
          <w:p w14:paraId="63D5FA71">
            <w:pPr>
              <w:widowControl/>
              <w:spacing w:line="360" w:lineRule="exact"/>
            </w:pPr>
            <w:r>
              <w:rPr>
                <w:rFonts w:hint="eastAsia"/>
              </w:rPr>
              <w:t xml:space="preserve">姓名：田立志     </w:t>
            </w:r>
            <w:r>
              <w:rPr>
                <w:rFonts w:hint="eastAsia"/>
                <w:szCs w:val="21"/>
              </w:rPr>
              <w:t>联系电话：13394101213</w:t>
            </w:r>
            <w:r>
              <w:rPr>
                <w:szCs w:val="21"/>
              </w:rPr>
              <w:t xml:space="preserve"> </w:t>
            </w:r>
          </w:p>
        </w:tc>
      </w:tr>
      <w:tr w14:paraId="2755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456A6FB1">
            <w:pPr>
              <w:widowControl/>
              <w:spacing w:line="360" w:lineRule="exact"/>
              <w:jc w:val="center"/>
              <w:rPr>
                <w:szCs w:val="21"/>
              </w:rPr>
            </w:pPr>
            <w:r>
              <w:rPr>
                <w:rFonts w:hint="eastAsia"/>
                <w:szCs w:val="21"/>
              </w:rPr>
              <w:t>行业类别</w:t>
            </w:r>
          </w:p>
        </w:tc>
        <w:tc>
          <w:tcPr>
            <w:tcW w:w="6115" w:type="dxa"/>
            <w:gridSpan w:val="6"/>
            <w:vAlign w:val="center"/>
          </w:tcPr>
          <w:p w14:paraId="2EF99FE9">
            <w:pPr>
              <w:widowControl/>
              <w:spacing w:line="360" w:lineRule="exact"/>
            </w:pPr>
            <w:r>
              <w:rPr>
                <w:rFonts w:hint="eastAsia"/>
                <w:szCs w:val="21"/>
              </w:rPr>
              <w:t>0601烟煤和无烟煤开采洗选</w:t>
            </w:r>
          </w:p>
        </w:tc>
      </w:tr>
      <w:tr w14:paraId="62B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4DFB357B">
            <w:pPr>
              <w:widowControl/>
              <w:spacing w:line="360" w:lineRule="exact"/>
              <w:jc w:val="center"/>
              <w:rPr>
                <w:szCs w:val="21"/>
              </w:rPr>
            </w:pPr>
            <w:r>
              <w:rPr>
                <w:rFonts w:hint="eastAsia"/>
                <w:szCs w:val="20"/>
              </w:rPr>
              <w:t>排污许可证或排污登记编号</w:t>
            </w:r>
          </w:p>
        </w:tc>
        <w:tc>
          <w:tcPr>
            <w:tcW w:w="6115" w:type="dxa"/>
            <w:gridSpan w:val="6"/>
            <w:vAlign w:val="center"/>
          </w:tcPr>
          <w:p w14:paraId="55F87EAC">
            <w:pPr>
              <w:widowControl/>
              <w:spacing w:line="360" w:lineRule="exact"/>
            </w:pPr>
            <w:r>
              <w:rPr>
                <w:rFonts w:hint="eastAsia"/>
              </w:rPr>
              <w:t>铁法煤业（集团）有限责任公司大隆矿证书编号：</w:t>
            </w:r>
            <w:r>
              <w:t>91211281823810231M001X</w:t>
            </w:r>
          </w:p>
        </w:tc>
      </w:tr>
      <w:tr w14:paraId="6783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4E10CBB6">
            <w:pPr>
              <w:widowControl/>
              <w:spacing w:line="360" w:lineRule="exact"/>
              <w:jc w:val="center"/>
              <w:rPr>
                <w:szCs w:val="21"/>
              </w:rPr>
            </w:pPr>
            <w:r>
              <w:rPr>
                <w:rFonts w:hint="eastAsia"/>
                <w:szCs w:val="21"/>
              </w:rPr>
              <w:t>入河排污口</w:t>
            </w:r>
          </w:p>
          <w:p w14:paraId="7DF29074">
            <w:pPr>
              <w:widowControl/>
              <w:spacing w:line="360" w:lineRule="exact"/>
              <w:jc w:val="center"/>
              <w:rPr>
                <w:szCs w:val="21"/>
              </w:rPr>
            </w:pPr>
            <w:r>
              <w:rPr>
                <w:rFonts w:hint="eastAsia"/>
                <w:szCs w:val="21"/>
              </w:rPr>
              <w:t>设置地点</w:t>
            </w:r>
          </w:p>
        </w:tc>
        <w:tc>
          <w:tcPr>
            <w:tcW w:w="6115" w:type="dxa"/>
            <w:gridSpan w:val="6"/>
            <w:vAlign w:val="center"/>
          </w:tcPr>
          <w:p w14:paraId="411EC783">
            <w:pPr>
              <w:widowControl/>
              <w:spacing w:line="360" w:lineRule="exact"/>
              <w:rPr>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调兵山</w:t>
            </w:r>
            <w:r>
              <w:rPr>
                <w:szCs w:val="21"/>
                <w:u w:val="single"/>
              </w:rPr>
              <w:t xml:space="preserve"> </w:t>
            </w:r>
            <w:r>
              <w:rPr>
                <w:rFonts w:hint="eastAsia"/>
                <w:szCs w:val="21"/>
              </w:rPr>
              <w:t>县（区、旗）</w:t>
            </w:r>
            <w:r>
              <w:rPr>
                <w:szCs w:val="21"/>
                <w:u w:val="single"/>
              </w:rPr>
              <w:t xml:space="preserve"> </w:t>
            </w:r>
            <w:r>
              <w:rPr>
                <w:rFonts w:hint="eastAsia"/>
                <w:szCs w:val="21"/>
                <w:u w:val="single"/>
              </w:rPr>
              <w:t>晓明</w:t>
            </w:r>
            <w:r>
              <w:rPr>
                <w:szCs w:val="21"/>
                <w:u w:val="single"/>
              </w:rPr>
              <w:t xml:space="preserve"> </w:t>
            </w:r>
            <w:r>
              <w:rPr>
                <w:rFonts w:hint="eastAsia"/>
                <w:szCs w:val="21"/>
              </w:rPr>
              <w:t>乡（镇、街道）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5A45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3E15027">
            <w:pPr>
              <w:widowControl/>
              <w:spacing w:line="360" w:lineRule="exact"/>
              <w:jc w:val="center"/>
              <w:rPr>
                <w:szCs w:val="21"/>
              </w:rPr>
            </w:pPr>
          </w:p>
        </w:tc>
        <w:tc>
          <w:tcPr>
            <w:tcW w:w="6115" w:type="dxa"/>
            <w:gridSpan w:val="6"/>
            <w:vAlign w:val="center"/>
          </w:tcPr>
          <w:p w14:paraId="28BBC661">
            <w:pPr>
              <w:widowControl/>
              <w:spacing w:line="360" w:lineRule="exact"/>
              <w:rPr>
                <w:szCs w:val="21"/>
              </w:rPr>
            </w:pPr>
            <w:r>
              <w:rPr>
                <w:rFonts w:hint="eastAsia"/>
                <w:szCs w:val="21"/>
              </w:rPr>
              <w:t>排入水体名称：南岭河</w:t>
            </w:r>
          </w:p>
        </w:tc>
      </w:tr>
      <w:tr w14:paraId="303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4B2C25B">
            <w:pPr>
              <w:widowControl/>
              <w:spacing w:line="360" w:lineRule="exact"/>
              <w:jc w:val="center"/>
              <w:rPr>
                <w:szCs w:val="21"/>
              </w:rPr>
            </w:pPr>
          </w:p>
        </w:tc>
        <w:tc>
          <w:tcPr>
            <w:tcW w:w="6115" w:type="dxa"/>
            <w:gridSpan w:val="6"/>
            <w:vAlign w:val="center"/>
          </w:tcPr>
          <w:p w14:paraId="5E4D8B39">
            <w:pPr>
              <w:widowControl/>
              <w:spacing w:line="360" w:lineRule="exact"/>
              <w:rPr>
                <w:szCs w:val="21"/>
              </w:rPr>
            </w:pPr>
            <w:r>
              <w:rPr>
                <w:rFonts w:hint="eastAsia"/>
                <w:szCs w:val="21"/>
              </w:rPr>
              <w:t>所在流域：辽河流域</w:t>
            </w:r>
          </w:p>
        </w:tc>
      </w:tr>
      <w:tr w14:paraId="3127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830" w:type="dxa"/>
            <w:vMerge w:val="continue"/>
            <w:vAlign w:val="center"/>
          </w:tcPr>
          <w:p w14:paraId="1976D982">
            <w:pPr>
              <w:widowControl/>
              <w:spacing w:line="360" w:lineRule="exact"/>
              <w:jc w:val="center"/>
              <w:rPr>
                <w:szCs w:val="21"/>
              </w:rPr>
            </w:pPr>
          </w:p>
        </w:tc>
        <w:tc>
          <w:tcPr>
            <w:tcW w:w="6115" w:type="dxa"/>
            <w:gridSpan w:val="6"/>
            <w:vAlign w:val="center"/>
          </w:tcPr>
          <w:p w14:paraId="46A9989C">
            <w:r>
              <w:rPr>
                <w:rFonts w:hint="eastAsia"/>
                <w:szCs w:val="20"/>
              </w:rPr>
              <w:t>经度（十进制精确到小数点后六位，</w:t>
            </w:r>
            <w:r>
              <w:rPr>
                <w:szCs w:val="21"/>
              </w:rPr>
              <w:t>CGCS2000</w:t>
            </w:r>
            <w:r>
              <w:rPr>
                <w:rFonts w:hint="eastAsia"/>
                <w:szCs w:val="21"/>
              </w:rPr>
              <w:t>坐标系</w:t>
            </w:r>
            <w:r>
              <w:rPr>
                <w:rFonts w:hint="eastAsia"/>
                <w:szCs w:val="20"/>
              </w:rPr>
              <w:t>）：</w:t>
            </w:r>
            <w:r>
              <w:t>548724.314</w:t>
            </w:r>
            <w:r>
              <w:rPr>
                <w:rFonts w:hint="eastAsia"/>
              </w:rPr>
              <w:t>（123.592157）</w:t>
            </w:r>
          </w:p>
          <w:p w14:paraId="70A63E47">
            <w:pPr>
              <w:widowControl/>
              <w:spacing w:line="360" w:lineRule="exact"/>
              <w:rPr>
                <w:szCs w:val="20"/>
              </w:rPr>
            </w:pPr>
            <w:r>
              <w:rPr>
                <w:rFonts w:hint="eastAsia"/>
                <w:szCs w:val="20"/>
              </w:rPr>
              <w:t>纬度（十进制精确到小数点后六位，</w:t>
            </w:r>
            <w:r>
              <w:rPr>
                <w:szCs w:val="21"/>
              </w:rPr>
              <w:t>CGCS2000</w:t>
            </w:r>
            <w:r>
              <w:rPr>
                <w:rFonts w:hint="eastAsia"/>
                <w:szCs w:val="21"/>
              </w:rPr>
              <w:t>坐标系</w:t>
            </w:r>
            <w:r>
              <w:rPr>
                <w:rFonts w:hint="eastAsia"/>
                <w:szCs w:val="20"/>
              </w:rPr>
              <w:t>）：</w:t>
            </w:r>
            <w:r>
              <w:rPr>
                <w:szCs w:val="20"/>
              </w:rPr>
              <w:t>4700</w:t>
            </w:r>
            <w:r>
              <w:rPr>
                <w:rFonts w:hint="eastAsia"/>
                <w:szCs w:val="20"/>
              </w:rPr>
              <w:t>250.129（42.436122）</w:t>
            </w:r>
          </w:p>
          <w:p w14:paraId="2538AC9B">
            <w:pPr>
              <w:widowControl/>
              <w:spacing w:line="360" w:lineRule="exact"/>
              <w:rPr>
                <w:szCs w:val="21"/>
              </w:rPr>
            </w:pPr>
          </w:p>
          <w:p w14:paraId="2830447C">
            <w:pPr>
              <w:pStyle w:val="2"/>
              <w:ind w:firstLine="420"/>
            </w:pPr>
          </w:p>
        </w:tc>
      </w:tr>
      <w:tr w14:paraId="3559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68A2BDCC">
            <w:pPr>
              <w:widowControl/>
              <w:spacing w:line="360" w:lineRule="exact"/>
              <w:jc w:val="center"/>
              <w:rPr>
                <w:szCs w:val="20"/>
              </w:rPr>
            </w:pPr>
            <w:r>
              <w:rPr>
                <w:rFonts w:hint="eastAsia"/>
                <w:szCs w:val="20"/>
              </w:rPr>
              <w:t>污水排放方式</w:t>
            </w:r>
          </w:p>
        </w:tc>
        <w:tc>
          <w:tcPr>
            <w:tcW w:w="1133" w:type="dxa"/>
            <w:vAlign w:val="center"/>
          </w:tcPr>
          <w:p w14:paraId="4B3F6C35">
            <w:pPr>
              <w:widowControl/>
              <w:spacing w:line="360" w:lineRule="exact"/>
              <w:rPr>
                <w:szCs w:val="20"/>
              </w:rPr>
            </w:pPr>
            <w:r>
              <w:rPr>
                <w:szCs w:val="20"/>
              </w:rPr>
              <w:sym w:font="Wingdings 2" w:char="00A3"/>
            </w:r>
            <w:r>
              <w:rPr>
                <w:rFonts w:hint="eastAsia"/>
                <w:szCs w:val="20"/>
              </w:rPr>
              <w:t>连续</w:t>
            </w:r>
            <w:r>
              <w:rPr>
                <w:szCs w:val="20"/>
              </w:rPr>
              <w:t xml:space="preserve"> </w:t>
            </w:r>
          </w:p>
          <w:p w14:paraId="32260003">
            <w:pPr>
              <w:widowControl/>
              <w:spacing w:line="360" w:lineRule="exact"/>
              <w:rPr>
                <w:szCs w:val="20"/>
              </w:rPr>
            </w:pPr>
            <w:r>
              <w:rPr>
                <w:szCs w:val="20"/>
              </w:rPr>
              <w:sym w:font="Wingdings 2" w:char="0052"/>
            </w:r>
            <w:r>
              <w:rPr>
                <w:rFonts w:hint="eastAsia"/>
                <w:szCs w:val="20"/>
              </w:rPr>
              <w:t>间歇</w:t>
            </w:r>
          </w:p>
        </w:tc>
        <w:tc>
          <w:tcPr>
            <w:tcW w:w="851" w:type="dxa"/>
            <w:vMerge w:val="restart"/>
            <w:vAlign w:val="center"/>
          </w:tcPr>
          <w:p w14:paraId="7B44BF06">
            <w:pPr>
              <w:widowControl/>
              <w:spacing w:line="360" w:lineRule="exact"/>
              <w:ind w:right="-105" w:rightChars="-50"/>
              <w:rPr>
                <w:szCs w:val="20"/>
              </w:rPr>
            </w:pPr>
            <w:r>
              <w:rPr>
                <w:rFonts w:hint="eastAsia"/>
                <w:szCs w:val="20"/>
              </w:rPr>
              <w:t>入河</w:t>
            </w:r>
          </w:p>
          <w:p w14:paraId="31A1AB88">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56A732EF">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645F27D7">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775F6969">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7BA2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47EB0203">
            <w:pPr>
              <w:widowControl/>
              <w:spacing w:line="360" w:lineRule="exact"/>
              <w:jc w:val="center"/>
              <w:rPr>
                <w:szCs w:val="20"/>
              </w:rPr>
            </w:pPr>
            <w:r>
              <w:rPr>
                <w:rFonts w:hint="eastAsia"/>
                <w:szCs w:val="21"/>
              </w:rPr>
              <w:t>是否共用</w:t>
            </w:r>
          </w:p>
        </w:tc>
        <w:tc>
          <w:tcPr>
            <w:tcW w:w="1133" w:type="dxa"/>
            <w:vAlign w:val="center"/>
          </w:tcPr>
          <w:p w14:paraId="41B348F4">
            <w:pPr>
              <w:widowControl/>
              <w:spacing w:line="360" w:lineRule="exact"/>
              <w:rPr>
                <w:szCs w:val="20"/>
              </w:rPr>
            </w:pPr>
            <w:r>
              <w:rPr>
                <w:szCs w:val="20"/>
              </w:rPr>
              <w:sym w:font="Wingdings 2" w:char="00A3"/>
            </w:r>
            <w:r>
              <w:rPr>
                <w:rFonts w:hint="eastAsia"/>
                <w:szCs w:val="20"/>
              </w:rPr>
              <w:t>是</w:t>
            </w:r>
          </w:p>
          <w:p w14:paraId="021A5C14">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49270880">
            <w:pPr>
              <w:widowControl/>
              <w:spacing w:line="360" w:lineRule="exact"/>
              <w:rPr>
                <w:szCs w:val="20"/>
              </w:rPr>
            </w:pPr>
          </w:p>
        </w:tc>
        <w:tc>
          <w:tcPr>
            <w:tcW w:w="4131" w:type="dxa"/>
            <w:gridSpan w:val="4"/>
            <w:vMerge w:val="continue"/>
            <w:vAlign w:val="center"/>
          </w:tcPr>
          <w:p w14:paraId="4B3D4B7F">
            <w:pPr>
              <w:widowControl/>
              <w:spacing w:line="360" w:lineRule="exact"/>
              <w:rPr>
                <w:szCs w:val="20"/>
              </w:rPr>
            </w:pPr>
          </w:p>
        </w:tc>
      </w:tr>
      <w:tr w14:paraId="2310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6C4C25D5">
            <w:pPr>
              <w:widowControl/>
              <w:spacing w:line="360" w:lineRule="exact"/>
              <w:jc w:val="center"/>
              <w:rPr>
                <w:szCs w:val="20"/>
              </w:rPr>
            </w:pPr>
            <w:r>
              <w:rPr>
                <w:rFonts w:hint="eastAsia"/>
                <w:szCs w:val="28"/>
              </w:rPr>
              <w:t>入河排污口截面信息</w:t>
            </w:r>
          </w:p>
        </w:tc>
        <w:tc>
          <w:tcPr>
            <w:tcW w:w="6115" w:type="dxa"/>
            <w:gridSpan w:val="6"/>
            <w:vAlign w:val="center"/>
          </w:tcPr>
          <w:p w14:paraId="13175062">
            <w:pPr>
              <w:widowControl/>
              <w:spacing w:line="360" w:lineRule="exact"/>
              <w:rPr>
                <w:szCs w:val="20"/>
              </w:rPr>
            </w:pPr>
            <w:r>
              <w:rPr>
                <w:szCs w:val="20"/>
              </w:rPr>
              <w:sym w:font="Wingdings 2" w:char="0052"/>
            </w:r>
            <w:r>
              <w:rPr>
                <w:rFonts w:hint="eastAsia"/>
                <w:szCs w:val="20"/>
              </w:rPr>
              <w:t>圆形截面：</w:t>
            </w:r>
            <w:r>
              <w:rPr>
                <w:szCs w:val="20"/>
              </w:rPr>
              <w:t xml:space="preserve">d= </w:t>
            </w:r>
            <w:r>
              <w:rPr>
                <w:rFonts w:hint="eastAsia"/>
                <w:szCs w:val="20"/>
              </w:rPr>
              <w:t>0.8</w:t>
            </w:r>
            <w:r>
              <w:rPr>
                <w:szCs w:val="20"/>
              </w:rPr>
              <w:t>m</w:t>
            </w:r>
            <w:r>
              <w:rPr>
                <w:rFonts w:hint="eastAsia"/>
                <w:szCs w:val="20"/>
              </w:rPr>
              <w:t>，</w:t>
            </w:r>
            <w:r>
              <w:rPr>
                <w:szCs w:val="20"/>
              </w:rPr>
              <w:t>S=</w:t>
            </w:r>
            <w:r>
              <w:rPr>
                <w:rFonts w:hint="eastAsia"/>
                <w:szCs w:val="20"/>
              </w:rPr>
              <w:t>0.5024</w:t>
            </w:r>
            <w:r>
              <w:rPr>
                <w:szCs w:val="20"/>
              </w:rPr>
              <w:t>m</w:t>
            </w:r>
            <w:r>
              <w:rPr>
                <w:szCs w:val="20"/>
                <w:vertAlign w:val="superscript"/>
              </w:rPr>
              <w:t>2</w:t>
            </w:r>
          </w:p>
        </w:tc>
      </w:tr>
      <w:tr w14:paraId="6B52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2D55D17E">
            <w:pPr>
              <w:widowControl/>
              <w:spacing w:line="360" w:lineRule="exact"/>
              <w:rPr>
                <w:szCs w:val="28"/>
              </w:rPr>
            </w:pPr>
          </w:p>
        </w:tc>
        <w:tc>
          <w:tcPr>
            <w:tcW w:w="6115" w:type="dxa"/>
            <w:gridSpan w:val="6"/>
            <w:vAlign w:val="center"/>
          </w:tcPr>
          <w:p w14:paraId="1CE52B59">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465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09935FC0">
            <w:pPr>
              <w:widowControl/>
              <w:spacing w:line="360" w:lineRule="exact"/>
              <w:rPr>
                <w:szCs w:val="28"/>
              </w:rPr>
            </w:pPr>
          </w:p>
        </w:tc>
        <w:tc>
          <w:tcPr>
            <w:tcW w:w="6115" w:type="dxa"/>
            <w:gridSpan w:val="6"/>
            <w:vAlign w:val="center"/>
          </w:tcPr>
          <w:p w14:paraId="23B67769">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501A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F931B35">
            <w:pPr>
              <w:widowControl/>
              <w:spacing w:line="360" w:lineRule="exact"/>
              <w:rPr>
                <w:szCs w:val="20"/>
              </w:rPr>
            </w:pPr>
            <w:r>
              <w:rPr>
                <w:rFonts w:hint="eastAsia"/>
                <w:szCs w:val="21"/>
              </w:rPr>
              <w:t>入河排污口污水排放量，入河排污口重点污染物排放种类、排放浓度和排放量</w:t>
            </w:r>
          </w:p>
        </w:tc>
      </w:tr>
      <w:tr w14:paraId="5B00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3BF4C25F">
            <w:pPr>
              <w:widowControl/>
              <w:spacing w:line="360" w:lineRule="exact"/>
              <w:jc w:val="center"/>
              <w:rPr>
                <w:szCs w:val="20"/>
              </w:rPr>
            </w:pPr>
            <w:r>
              <w:rPr>
                <w:rFonts w:hint="eastAsia"/>
                <w:szCs w:val="20"/>
              </w:rPr>
              <w:t>污染物种类</w:t>
            </w:r>
          </w:p>
        </w:tc>
        <w:tc>
          <w:tcPr>
            <w:tcW w:w="1133" w:type="dxa"/>
            <w:vMerge w:val="restart"/>
            <w:vAlign w:val="center"/>
          </w:tcPr>
          <w:p w14:paraId="7660C37C">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0D34955A">
            <w:pPr>
              <w:widowControl/>
              <w:spacing w:line="360" w:lineRule="exact"/>
              <w:jc w:val="center"/>
              <w:rPr>
                <w:szCs w:val="20"/>
              </w:rPr>
            </w:pPr>
            <w:r>
              <w:rPr>
                <w:rFonts w:hint="eastAsia"/>
                <w:szCs w:val="20"/>
              </w:rPr>
              <w:t>全年</w:t>
            </w:r>
          </w:p>
        </w:tc>
        <w:tc>
          <w:tcPr>
            <w:tcW w:w="2571" w:type="dxa"/>
            <w:gridSpan w:val="2"/>
            <w:vAlign w:val="center"/>
          </w:tcPr>
          <w:p w14:paraId="73ABD4D0">
            <w:pPr>
              <w:widowControl/>
              <w:spacing w:line="360" w:lineRule="exact"/>
              <w:jc w:val="center"/>
              <w:rPr>
                <w:szCs w:val="20"/>
              </w:rPr>
            </w:pPr>
            <w:r>
              <w:rPr>
                <w:rFonts w:hint="eastAsia"/>
                <w:szCs w:val="20"/>
              </w:rPr>
              <w:t>特殊时段（12 月至4月）</w:t>
            </w:r>
          </w:p>
        </w:tc>
      </w:tr>
      <w:tr w14:paraId="1FEB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5124C9CC">
            <w:pPr>
              <w:spacing w:line="360" w:lineRule="exact"/>
              <w:rPr>
                <w:szCs w:val="20"/>
              </w:rPr>
            </w:pPr>
          </w:p>
        </w:tc>
        <w:tc>
          <w:tcPr>
            <w:tcW w:w="1133" w:type="dxa"/>
            <w:vMerge w:val="continue"/>
            <w:vAlign w:val="center"/>
          </w:tcPr>
          <w:p w14:paraId="6EFEE500">
            <w:pPr>
              <w:widowControl/>
              <w:spacing w:line="360" w:lineRule="exact"/>
              <w:jc w:val="center"/>
              <w:rPr>
                <w:szCs w:val="20"/>
              </w:rPr>
            </w:pPr>
          </w:p>
        </w:tc>
        <w:tc>
          <w:tcPr>
            <w:tcW w:w="1277" w:type="dxa"/>
            <w:gridSpan w:val="2"/>
            <w:vAlign w:val="center"/>
          </w:tcPr>
          <w:p w14:paraId="69EFA5FC">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66BF5E09">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5E0D86D8">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5A10D215">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0663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73F4E9E">
            <w:pPr>
              <w:widowControl/>
              <w:spacing w:line="360" w:lineRule="exact"/>
              <w:rPr>
                <w:szCs w:val="20"/>
              </w:rPr>
            </w:pPr>
            <w:r>
              <w:rPr>
                <w:rFonts w:hint="eastAsia"/>
                <w:szCs w:val="20"/>
              </w:rPr>
              <w:t>入河排污口合计</w:t>
            </w:r>
          </w:p>
        </w:tc>
      </w:tr>
      <w:tr w14:paraId="7F4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AFE39E2">
            <w:pPr>
              <w:widowControl/>
              <w:spacing w:line="360" w:lineRule="exact"/>
              <w:jc w:val="center"/>
              <w:rPr>
                <w:szCs w:val="20"/>
              </w:rPr>
            </w:pPr>
            <w:r>
              <w:rPr>
                <w:szCs w:val="20"/>
              </w:rPr>
              <w:t>COD</w:t>
            </w:r>
          </w:p>
        </w:tc>
        <w:tc>
          <w:tcPr>
            <w:tcW w:w="1133" w:type="dxa"/>
            <w:vAlign w:val="center"/>
          </w:tcPr>
          <w:p w14:paraId="7A61A3EE">
            <w:pPr>
              <w:widowControl/>
              <w:spacing w:line="360" w:lineRule="exact"/>
              <w:jc w:val="center"/>
              <w:rPr>
                <w:szCs w:val="20"/>
              </w:rPr>
            </w:pPr>
            <w:r>
              <w:rPr>
                <w:rFonts w:hint="eastAsia"/>
                <w:szCs w:val="20"/>
              </w:rPr>
              <w:t>50</w:t>
            </w:r>
          </w:p>
        </w:tc>
        <w:tc>
          <w:tcPr>
            <w:tcW w:w="1277" w:type="dxa"/>
            <w:gridSpan w:val="2"/>
            <w:vMerge w:val="restart"/>
            <w:vAlign w:val="center"/>
          </w:tcPr>
          <w:p w14:paraId="289658D2">
            <w:pPr>
              <w:widowControl/>
              <w:spacing w:line="360" w:lineRule="exact"/>
              <w:jc w:val="center"/>
              <w:rPr>
                <w:szCs w:val="20"/>
              </w:rPr>
            </w:pPr>
            <w:r>
              <w:rPr>
                <w:rFonts w:hint="eastAsia"/>
                <w:szCs w:val="21"/>
              </w:rPr>
              <w:t>105.12</w:t>
            </w:r>
          </w:p>
        </w:tc>
        <w:tc>
          <w:tcPr>
            <w:tcW w:w="1134" w:type="dxa"/>
            <w:vAlign w:val="center"/>
          </w:tcPr>
          <w:p w14:paraId="65F3F713">
            <w:pPr>
              <w:jc w:val="center"/>
              <w:rPr>
                <w:szCs w:val="20"/>
              </w:rPr>
            </w:pPr>
            <w:r>
              <w:rPr>
                <w:rFonts w:hint="eastAsia"/>
                <w:szCs w:val="21"/>
              </w:rPr>
              <w:t>52.56</w:t>
            </w:r>
          </w:p>
        </w:tc>
        <w:tc>
          <w:tcPr>
            <w:tcW w:w="1418" w:type="dxa"/>
            <w:vMerge w:val="restart"/>
            <w:vAlign w:val="center"/>
          </w:tcPr>
          <w:p w14:paraId="147ECE61">
            <w:pPr>
              <w:widowControl/>
              <w:spacing w:line="360" w:lineRule="exact"/>
              <w:ind w:firstLine="105" w:firstLineChars="50"/>
              <w:jc w:val="center"/>
              <w:rPr>
                <w:szCs w:val="20"/>
              </w:rPr>
            </w:pPr>
            <w:r>
              <w:rPr>
                <w:rFonts w:hint="eastAsia"/>
                <w:szCs w:val="20"/>
              </w:rPr>
              <w:t>2880</w:t>
            </w:r>
          </w:p>
        </w:tc>
        <w:tc>
          <w:tcPr>
            <w:tcW w:w="1153" w:type="dxa"/>
            <w:vAlign w:val="center"/>
          </w:tcPr>
          <w:p w14:paraId="7F7D416E">
            <w:pPr>
              <w:widowControl/>
              <w:spacing w:line="360" w:lineRule="exact"/>
              <w:jc w:val="center"/>
              <w:rPr>
                <w:szCs w:val="20"/>
              </w:rPr>
            </w:pPr>
            <w:r>
              <w:rPr>
                <w:rFonts w:hint="eastAsia"/>
                <w:szCs w:val="20"/>
              </w:rPr>
              <w:t>0.144</w:t>
            </w:r>
          </w:p>
        </w:tc>
      </w:tr>
      <w:tr w14:paraId="5FA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60DC668">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757A8B01">
            <w:pPr>
              <w:widowControl/>
              <w:spacing w:line="360" w:lineRule="exact"/>
              <w:jc w:val="center"/>
              <w:rPr>
                <w:szCs w:val="20"/>
              </w:rPr>
            </w:pPr>
            <w:r>
              <w:rPr>
                <w:rFonts w:hint="eastAsia"/>
                <w:szCs w:val="21"/>
              </w:rPr>
              <w:t>8（10）</w:t>
            </w:r>
          </w:p>
        </w:tc>
        <w:tc>
          <w:tcPr>
            <w:tcW w:w="1277" w:type="dxa"/>
            <w:gridSpan w:val="2"/>
            <w:vMerge w:val="continue"/>
            <w:vAlign w:val="center"/>
          </w:tcPr>
          <w:p w14:paraId="1D2536CB">
            <w:pPr>
              <w:widowControl/>
              <w:spacing w:line="360" w:lineRule="exact"/>
              <w:rPr>
                <w:szCs w:val="20"/>
              </w:rPr>
            </w:pPr>
          </w:p>
        </w:tc>
        <w:tc>
          <w:tcPr>
            <w:tcW w:w="1134" w:type="dxa"/>
            <w:vAlign w:val="center"/>
          </w:tcPr>
          <w:p w14:paraId="31F21883">
            <w:pPr>
              <w:jc w:val="center"/>
              <w:rPr>
                <w:szCs w:val="20"/>
              </w:rPr>
            </w:pPr>
            <w:r>
              <w:rPr>
                <w:rFonts w:hint="eastAsia"/>
                <w:szCs w:val="21"/>
              </w:rPr>
              <w:t>8.41</w:t>
            </w:r>
          </w:p>
        </w:tc>
        <w:tc>
          <w:tcPr>
            <w:tcW w:w="1418" w:type="dxa"/>
            <w:vMerge w:val="continue"/>
            <w:vAlign w:val="center"/>
          </w:tcPr>
          <w:p w14:paraId="1DBF53A0">
            <w:pPr>
              <w:widowControl/>
              <w:spacing w:line="360" w:lineRule="exact"/>
              <w:rPr>
                <w:szCs w:val="20"/>
              </w:rPr>
            </w:pPr>
          </w:p>
        </w:tc>
        <w:tc>
          <w:tcPr>
            <w:tcW w:w="1153" w:type="dxa"/>
            <w:vAlign w:val="center"/>
          </w:tcPr>
          <w:p w14:paraId="46389B91">
            <w:pPr>
              <w:widowControl/>
              <w:spacing w:line="360" w:lineRule="exact"/>
              <w:jc w:val="center"/>
              <w:rPr>
                <w:szCs w:val="20"/>
              </w:rPr>
            </w:pPr>
            <w:r>
              <w:rPr>
                <w:rFonts w:hint="eastAsia"/>
                <w:szCs w:val="20"/>
              </w:rPr>
              <w:t>0.023</w:t>
            </w:r>
          </w:p>
        </w:tc>
      </w:tr>
      <w:tr w14:paraId="2DDC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FBF53C8">
            <w:pPr>
              <w:widowControl/>
              <w:spacing w:line="360" w:lineRule="exact"/>
              <w:jc w:val="center"/>
              <w:rPr>
                <w:szCs w:val="20"/>
              </w:rPr>
            </w:pPr>
            <w:r>
              <w:rPr>
                <w:rFonts w:hint="eastAsia"/>
                <w:szCs w:val="20"/>
              </w:rPr>
              <w:t>T</w:t>
            </w:r>
            <w:r>
              <w:rPr>
                <w:szCs w:val="20"/>
              </w:rPr>
              <w:t>N</w:t>
            </w:r>
          </w:p>
        </w:tc>
        <w:tc>
          <w:tcPr>
            <w:tcW w:w="1133" w:type="dxa"/>
            <w:vAlign w:val="center"/>
          </w:tcPr>
          <w:p w14:paraId="32911F16">
            <w:pPr>
              <w:widowControl/>
              <w:spacing w:line="360" w:lineRule="exact"/>
              <w:jc w:val="center"/>
              <w:rPr>
                <w:szCs w:val="20"/>
              </w:rPr>
            </w:pPr>
            <w:r>
              <w:rPr>
                <w:rFonts w:hint="eastAsia"/>
                <w:szCs w:val="20"/>
              </w:rPr>
              <w:t>15</w:t>
            </w:r>
          </w:p>
        </w:tc>
        <w:tc>
          <w:tcPr>
            <w:tcW w:w="1277" w:type="dxa"/>
            <w:gridSpan w:val="2"/>
            <w:vMerge w:val="continue"/>
            <w:vAlign w:val="center"/>
          </w:tcPr>
          <w:p w14:paraId="752863CF">
            <w:pPr>
              <w:widowControl/>
              <w:spacing w:line="360" w:lineRule="exact"/>
              <w:rPr>
                <w:szCs w:val="20"/>
              </w:rPr>
            </w:pPr>
          </w:p>
        </w:tc>
        <w:tc>
          <w:tcPr>
            <w:tcW w:w="1134" w:type="dxa"/>
            <w:vAlign w:val="center"/>
          </w:tcPr>
          <w:p w14:paraId="0FE1F865">
            <w:pPr>
              <w:widowControl/>
              <w:spacing w:line="360" w:lineRule="exact"/>
              <w:jc w:val="center"/>
              <w:rPr>
                <w:szCs w:val="20"/>
              </w:rPr>
            </w:pPr>
            <w:r>
              <w:rPr>
                <w:rFonts w:hint="eastAsia"/>
                <w:szCs w:val="24"/>
              </w:rPr>
              <w:t>15.768</w:t>
            </w:r>
          </w:p>
        </w:tc>
        <w:tc>
          <w:tcPr>
            <w:tcW w:w="1418" w:type="dxa"/>
            <w:vMerge w:val="continue"/>
            <w:vAlign w:val="center"/>
          </w:tcPr>
          <w:p w14:paraId="77C1A22A">
            <w:pPr>
              <w:widowControl/>
              <w:spacing w:line="360" w:lineRule="exact"/>
              <w:rPr>
                <w:szCs w:val="20"/>
              </w:rPr>
            </w:pPr>
          </w:p>
        </w:tc>
        <w:tc>
          <w:tcPr>
            <w:tcW w:w="1153" w:type="dxa"/>
            <w:vAlign w:val="center"/>
          </w:tcPr>
          <w:p w14:paraId="0EF465B0">
            <w:pPr>
              <w:widowControl/>
              <w:spacing w:line="360" w:lineRule="exact"/>
              <w:jc w:val="center"/>
              <w:rPr>
                <w:szCs w:val="20"/>
              </w:rPr>
            </w:pPr>
            <w:r>
              <w:rPr>
                <w:rFonts w:hint="eastAsia"/>
                <w:szCs w:val="20"/>
              </w:rPr>
              <w:t>0.0432</w:t>
            </w:r>
          </w:p>
        </w:tc>
      </w:tr>
      <w:tr w14:paraId="0B7C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FE17000">
            <w:pPr>
              <w:widowControl/>
              <w:spacing w:line="360" w:lineRule="exact"/>
              <w:jc w:val="center"/>
              <w:rPr>
                <w:szCs w:val="20"/>
              </w:rPr>
            </w:pPr>
            <w:r>
              <w:rPr>
                <w:rFonts w:hint="eastAsia"/>
                <w:szCs w:val="20"/>
              </w:rPr>
              <w:t>T</w:t>
            </w:r>
            <w:r>
              <w:rPr>
                <w:szCs w:val="20"/>
              </w:rPr>
              <w:t>P</w:t>
            </w:r>
          </w:p>
        </w:tc>
        <w:tc>
          <w:tcPr>
            <w:tcW w:w="1133" w:type="dxa"/>
            <w:vAlign w:val="center"/>
          </w:tcPr>
          <w:p w14:paraId="21C013AE">
            <w:pPr>
              <w:widowControl/>
              <w:spacing w:line="360" w:lineRule="exact"/>
              <w:jc w:val="center"/>
              <w:rPr>
                <w:szCs w:val="20"/>
              </w:rPr>
            </w:pPr>
            <w:r>
              <w:rPr>
                <w:rFonts w:hint="eastAsia"/>
                <w:szCs w:val="20"/>
              </w:rPr>
              <w:t>0.5</w:t>
            </w:r>
          </w:p>
        </w:tc>
        <w:tc>
          <w:tcPr>
            <w:tcW w:w="1277" w:type="dxa"/>
            <w:gridSpan w:val="2"/>
            <w:vMerge w:val="continue"/>
            <w:vAlign w:val="center"/>
          </w:tcPr>
          <w:p w14:paraId="5F7A0CD0">
            <w:pPr>
              <w:widowControl/>
              <w:spacing w:line="360" w:lineRule="exact"/>
              <w:rPr>
                <w:szCs w:val="20"/>
              </w:rPr>
            </w:pPr>
          </w:p>
        </w:tc>
        <w:tc>
          <w:tcPr>
            <w:tcW w:w="1134" w:type="dxa"/>
            <w:vAlign w:val="center"/>
          </w:tcPr>
          <w:p w14:paraId="76065364">
            <w:pPr>
              <w:widowControl/>
              <w:spacing w:line="360" w:lineRule="exact"/>
              <w:jc w:val="center"/>
              <w:rPr>
                <w:szCs w:val="20"/>
              </w:rPr>
            </w:pPr>
            <w:r>
              <w:rPr>
                <w:rFonts w:hint="eastAsia"/>
                <w:szCs w:val="24"/>
              </w:rPr>
              <w:t>0.526</w:t>
            </w:r>
          </w:p>
        </w:tc>
        <w:tc>
          <w:tcPr>
            <w:tcW w:w="1418" w:type="dxa"/>
            <w:vMerge w:val="continue"/>
            <w:vAlign w:val="center"/>
          </w:tcPr>
          <w:p w14:paraId="67E698DF">
            <w:pPr>
              <w:widowControl/>
              <w:spacing w:line="360" w:lineRule="exact"/>
              <w:rPr>
                <w:szCs w:val="20"/>
              </w:rPr>
            </w:pPr>
          </w:p>
        </w:tc>
        <w:tc>
          <w:tcPr>
            <w:tcW w:w="1153" w:type="dxa"/>
            <w:vAlign w:val="center"/>
          </w:tcPr>
          <w:p w14:paraId="564CB457">
            <w:pPr>
              <w:widowControl/>
              <w:spacing w:line="360" w:lineRule="exact"/>
              <w:jc w:val="center"/>
              <w:rPr>
                <w:szCs w:val="20"/>
              </w:rPr>
            </w:pPr>
            <w:r>
              <w:rPr>
                <w:rFonts w:hint="eastAsia"/>
                <w:szCs w:val="20"/>
              </w:rPr>
              <w:t>0.00144</w:t>
            </w:r>
          </w:p>
        </w:tc>
      </w:tr>
      <w:tr w14:paraId="5DAD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AADDC3C">
            <w:pPr>
              <w:widowControl/>
              <w:spacing w:line="360" w:lineRule="exact"/>
              <w:jc w:val="center"/>
              <w:rPr>
                <w:szCs w:val="20"/>
              </w:rPr>
            </w:pPr>
            <w:r>
              <w:rPr>
                <w:rFonts w:hint="eastAsia"/>
                <w:szCs w:val="20"/>
              </w:rPr>
              <w:t>（其他重点污染物）</w:t>
            </w:r>
          </w:p>
        </w:tc>
        <w:tc>
          <w:tcPr>
            <w:tcW w:w="1133" w:type="dxa"/>
            <w:vAlign w:val="center"/>
          </w:tcPr>
          <w:p w14:paraId="3AB38FE7">
            <w:pPr>
              <w:widowControl/>
              <w:spacing w:line="360" w:lineRule="exact"/>
              <w:rPr>
                <w:szCs w:val="20"/>
              </w:rPr>
            </w:pPr>
          </w:p>
        </w:tc>
        <w:tc>
          <w:tcPr>
            <w:tcW w:w="1277" w:type="dxa"/>
            <w:gridSpan w:val="2"/>
            <w:vMerge w:val="continue"/>
            <w:vAlign w:val="center"/>
          </w:tcPr>
          <w:p w14:paraId="6A014B37">
            <w:pPr>
              <w:widowControl/>
              <w:spacing w:line="360" w:lineRule="exact"/>
              <w:rPr>
                <w:szCs w:val="20"/>
              </w:rPr>
            </w:pPr>
          </w:p>
        </w:tc>
        <w:tc>
          <w:tcPr>
            <w:tcW w:w="1134" w:type="dxa"/>
            <w:vAlign w:val="center"/>
          </w:tcPr>
          <w:p w14:paraId="47F6721C">
            <w:pPr>
              <w:widowControl/>
              <w:spacing w:line="360" w:lineRule="exact"/>
              <w:rPr>
                <w:szCs w:val="20"/>
              </w:rPr>
            </w:pPr>
          </w:p>
        </w:tc>
        <w:tc>
          <w:tcPr>
            <w:tcW w:w="1418" w:type="dxa"/>
            <w:vMerge w:val="continue"/>
            <w:vAlign w:val="center"/>
          </w:tcPr>
          <w:p w14:paraId="11B7A0CD">
            <w:pPr>
              <w:widowControl/>
              <w:spacing w:line="360" w:lineRule="exact"/>
              <w:rPr>
                <w:szCs w:val="20"/>
              </w:rPr>
            </w:pPr>
          </w:p>
        </w:tc>
        <w:tc>
          <w:tcPr>
            <w:tcW w:w="1153" w:type="dxa"/>
            <w:vAlign w:val="center"/>
          </w:tcPr>
          <w:p w14:paraId="308CE5C5">
            <w:pPr>
              <w:widowControl/>
              <w:spacing w:line="360" w:lineRule="exact"/>
              <w:rPr>
                <w:szCs w:val="20"/>
              </w:rPr>
            </w:pPr>
          </w:p>
        </w:tc>
      </w:tr>
      <w:tr w14:paraId="6D31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36900C2F">
            <w:pPr>
              <w:widowControl/>
              <w:snapToGrid w:val="0"/>
              <w:spacing w:line="360" w:lineRule="exact"/>
              <w:rPr>
                <w:szCs w:val="20"/>
              </w:rPr>
            </w:pPr>
            <w:r>
              <w:rPr>
                <w:rFonts w:hint="eastAsia"/>
                <w:szCs w:val="20"/>
              </w:rPr>
              <w:t>信息公开要求：</w:t>
            </w:r>
          </w:p>
          <w:p w14:paraId="1CE02F90">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6804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4EAC59C5">
            <w:pPr>
              <w:widowControl/>
              <w:snapToGrid w:val="0"/>
              <w:spacing w:line="360" w:lineRule="exact"/>
              <w:rPr>
                <w:szCs w:val="20"/>
              </w:rPr>
            </w:pPr>
            <w:r>
              <w:rPr>
                <w:rFonts w:hint="eastAsia"/>
                <w:szCs w:val="20"/>
              </w:rPr>
              <w:t>水污染事故应急处理预案以及环境风险防范措施：</w:t>
            </w:r>
          </w:p>
          <w:p w14:paraId="272504FF">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rPr>
              <w:t>铁法煤业（集团）有限责任公司大隆矿</w:t>
            </w:r>
            <w:r>
              <w:rPr>
                <w:rFonts w:hint="eastAsia"/>
              </w:rPr>
              <w:t>应当按照排污单位有关要求，做好污染事故应急处理预案、环境风险防范及应急处置措施，具体包括：</w:t>
            </w:r>
          </w:p>
          <w:p w14:paraId="14F9D067">
            <w:pPr>
              <w:snapToGrid w:val="0"/>
              <w:spacing w:line="360" w:lineRule="exact"/>
              <w:ind w:firstLine="420" w:firstLineChars="200"/>
            </w:pPr>
            <w:r>
              <w:rPr>
                <w:rFonts w:hint="eastAsia"/>
              </w:rPr>
              <w:t>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127E5F53">
            <w:pPr>
              <w:ind w:firstLine="420" w:firstLineChars="200"/>
              <w:rPr>
                <w:color w:val="000000" w:themeColor="text1"/>
                <w14:textFill>
                  <w14:solidFill>
                    <w14:schemeClr w14:val="tx1"/>
                  </w14:solidFill>
                </w14:textFill>
              </w:rPr>
            </w:pPr>
            <w:r>
              <w:rPr>
                <w:rFonts w:hint="eastAsia"/>
              </w:rPr>
              <w:t>2、</w:t>
            </w:r>
            <w:r>
              <w:rPr>
                <w:rFonts w:hint="eastAsia"/>
                <w:color w:val="000000" w:themeColor="text1"/>
                <w14:textFill>
                  <w14:solidFill>
                    <w14:schemeClr w14:val="tx1"/>
                  </w14:solidFill>
                </w14:textFill>
              </w:rPr>
              <w:t>项目建成运行后，必须加强废水处理设施的运行管理工作，确保正常运行和尾水达标排放，严格杜绝事故排放情况发生。为此</w:t>
            </w:r>
            <w:r>
              <w:rPr>
                <w:rFonts w:hint="eastAsia" w:ascii="宋体" w:hAnsi="宋体"/>
                <w:spacing w:val="-4"/>
                <w:szCs w:val="21"/>
              </w:rPr>
              <w:t>该</w:t>
            </w:r>
            <w:r>
              <w:rPr>
                <w:rFonts w:hint="eastAsia"/>
                <w:color w:val="000000" w:themeColor="text1"/>
                <w14:textFill>
                  <w14:solidFill>
                    <w14:schemeClr w14:val="tx1"/>
                  </w14:solidFill>
                </w14:textFill>
              </w:rPr>
              <w:t>污水处理站采取如下防范与应急措施：</w:t>
            </w:r>
          </w:p>
          <w:p w14:paraId="08ABAB3A">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）污水处理厂在设计、施工及设备选型时应严格要求，保证工程、设备质量。</w:t>
            </w:r>
          </w:p>
          <w:p w14:paraId="720551FD">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）采用先进的中央控制系统，对变电站、污泥处理区、进水泵站以及主要处理构筑物进行电视监控，以便于及时发现事故隐患。</w:t>
            </w:r>
          </w:p>
          <w:p w14:paraId="1E7BFEAF">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加强运行设施的维护和管理，提高设施的完好率，关键设备及配件应备足备件，电源保证双回路供电。本工程用电为二级负荷，因现场情况只能引来一路电源，所以一路电源利用新建箱变为设备供电，另一路电源为车载柴油发电机接口做备用电源。两路电源一用一备，均应能满足</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负荷要求，当一路电源故障时，通过手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自动操作联络开关投入另一路电源。此外，一旦发生不可抗拒的自然灾害，应要求接管企业部分或全部停止向管道系统排污。</w:t>
            </w:r>
          </w:p>
          <w:p w14:paraId="7647177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）严格控制各处理单元的水量、水质、停留时间、负荷强度等工艺参数，确保处理效果的稳定性。配备流量、水质自动分析监控仪器，加强进出水的监测工作，定期取样测定，适时调控，使设备处于最佳工况。</w:t>
            </w:r>
          </w:p>
          <w:p w14:paraId="2E9612AA">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）定期开展消毒池出口和排污口出口水量对比监测，以及排放管线沿线地下水水质监测，发现水量、水质异常及时查找原因。</w:t>
            </w:r>
          </w:p>
          <w:p w14:paraId="494E9A15">
            <w:pPr>
              <w:ind w:firstLine="420" w:firstLineChars="20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7873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54736AD0">
            <w:pPr>
              <w:pStyle w:val="10"/>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2416BBC6">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694644C7">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34BAFF81">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6EF8CED5">
            <w:pPr>
              <w:pStyle w:val="10"/>
              <w:snapToGrid w:val="0"/>
              <w:spacing w:line="360" w:lineRule="exact"/>
              <w:ind w:left="0" w:firstLine="600" w:firstLineChars="200"/>
              <w:jc w:val="both"/>
              <w:rPr>
                <w:lang w:eastAsia="zh-CN"/>
              </w:rPr>
            </w:pPr>
          </w:p>
        </w:tc>
      </w:tr>
      <w:tr w14:paraId="5EED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A88304B">
            <w:pPr>
              <w:pStyle w:val="10"/>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4CA6BD08">
            <w:pPr>
              <w:widowControl/>
              <w:snapToGrid w:val="0"/>
              <w:spacing w:line="360" w:lineRule="exact"/>
              <w:rPr>
                <w:szCs w:val="20"/>
              </w:rPr>
            </w:pPr>
          </w:p>
        </w:tc>
      </w:tr>
      <w:tr w14:paraId="79C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4480DCE8">
            <w:pPr>
              <w:widowControl/>
              <w:snapToGrid w:val="0"/>
              <w:spacing w:line="360" w:lineRule="exact"/>
              <w:rPr>
                <w:kern w:val="0"/>
                <w:szCs w:val="21"/>
              </w:rPr>
            </w:pPr>
            <w:r>
              <w:rPr>
                <w:rFonts w:hint="eastAsia"/>
                <w:kern w:val="0"/>
                <w:szCs w:val="21"/>
              </w:rPr>
              <w:t>其他需要注意的事项：</w:t>
            </w:r>
          </w:p>
          <w:p w14:paraId="68192608">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6CA7AB8B">
            <w:pPr>
              <w:snapToGrid w:val="0"/>
              <w:spacing w:line="360" w:lineRule="exact"/>
              <w:ind w:firstLine="420" w:firstLineChars="200"/>
            </w:pPr>
            <w:r>
              <w:rPr>
                <w:rFonts w:hint="eastAsia"/>
              </w:rPr>
              <w:t>（二）……</w:t>
            </w:r>
          </w:p>
        </w:tc>
      </w:tr>
    </w:tbl>
    <w:p w14:paraId="010F956D">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09D67A64">
      <w:pPr>
        <w:pStyle w:val="10"/>
        <w:spacing w:before="0" w:line="360" w:lineRule="exact"/>
        <w:jc w:val="right"/>
        <w:rPr>
          <w:rFonts w:ascii="黑体" w:hAnsi="黑体" w:eastAsia="黑体"/>
          <w:color w:val="FF0000"/>
          <w:kern w:val="44"/>
          <w:szCs w:val="20"/>
        </w:rPr>
        <w:sectPr>
          <w:footerReference r:id="rId3" w:type="default"/>
          <w:pgSz w:w="11906" w:h="16838"/>
          <w:pgMar w:top="1276" w:right="1797" w:bottom="1440" w:left="1797" w:header="851" w:footer="992" w:gutter="0"/>
          <w:cols w:space="720" w:num="1"/>
          <w:docGrid w:type="linesAndChars" w:linePitch="312" w:charSpace="0"/>
        </w:sectPr>
      </w:pPr>
      <w:r>
        <w:rPr>
          <w:rFonts w:hint="eastAsia" w:ascii="宋体" w:hAnsi="宋体" w:eastAsia="宋体"/>
          <w:color w:val="auto"/>
          <w:sz w:val="21"/>
          <w:szCs w:val="21"/>
          <w:lang w:eastAsia="zh-CN"/>
        </w:rPr>
        <w:t>2025</w:t>
      </w:r>
      <w:r>
        <w:rPr>
          <w:rFonts w:ascii="宋体" w:hAnsi="宋体" w:eastAsia="宋体"/>
          <w:color w:val="auto"/>
          <w:sz w:val="21"/>
          <w:szCs w:val="21"/>
          <w:lang w:eastAsia="zh-CN"/>
        </w:rPr>
        <w:t xml:space="preserve">年 </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 xml:space="preserve">月 </w:t>
      </w:r>
      <w:r>
        <w:rPr>
          <w:rFonts w:hint="eastAsia" w:ascii="宋体" w:hAnsi="宋体" w:eastAsia="宋体"/>
          <w:color w:val="auto"/>
          <w:sz w:val="21"/>
          <w:szCs w:val="21"/>
          <w:lang w:val="en-US" w:eastAsia="zh-CN"/>
        </w:rPr>
        <w:t>9</w:t>
      </w:r>
      <w:r>
        <w:rPr>
          <w:rFonts w:ascii="宋体" w:hAnsi="宋体" w:eastAsia="宋体"/>
          <w:color w:val="auto"/>
          <w:sz w:val="21"/>
          <w:szCs w:val="21"/>
          <w:lang w:eastAsia="zh-CN"/>
        </w:rPr>
        <w:t>日</w:t>
      </w:r>
      <w:bookmarkStart w:id="3" w:name="_GoBack"/>
      <w:bookmarkEnd w:id="3"/>
    </w:p>
    <w:bookmarkEnd w:id="0"/>
    <w:p w14:paraId="679780FD">
      <w:pPr>
        <w:topLinePunct/>
        <w:adjustRightInd w:val="0"/>
        <w:spacing w:line="360" w:lineRule="exact"/>
        <w:jc w:val="both"/>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752EE-426D-4471-8930-85B907F6B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5772BB40-BFED-4448-A86F-7713C26300CA}"/>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C598">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0C59"/>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47DDB"/>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17DE"/>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D76C9"/>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1F00"/>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6DCA"/>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24B"/>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46AE"/>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6"/>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4161"/>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1779E"/>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38B8"/>
    <w:rsid w:val="009A52E6"/>
    <w:rsid w:val="009A65F9"/>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0CF4"/>
    <w:rsid w:val="00AD18F5"/>
    <w:rsid w:val="00AD5792"/>
    <w:rsid w:val="00AD5D71"/>
    <w:rsid w:val="00AD6548"/>
    <w:rsid w:val="00AD6EC1"/>
    <w:rsid w:val="00AD7FF7"/>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1213"/>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6CFF"/>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0683E"/>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1A7"/>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5EB0"/>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53D2"/>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1206"/>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B21"/>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A2171D8"/>
    <w:rsid w:val="0AA7304A"/>
    <w:rsid w:val="0AC83149"/>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4F74BCE"/>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9A901D7"/>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8AA090C"/>
    <w:rsid w:val="39836E80"/>
    <w:rsid w:val="39FB7351"/>
    <w:rsid w:val="3A6A67D9"/>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93556E9"/>
    <w:rsid w:val="4976569D"/>
    <w:rsid w:val="49BA48C9"/>
    <w:rsid w:val="49CF1E07"/>
    <w:rsid w:val="4A7F4E6E"/>
    <w:rsid w:val="4ABE4612"/>
    <w:rsid w:val="4B4E0679"/>
    <w:rsid w:val="4B7F0E9E"/>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359071B"/>
    <w:rsid w:val="536F7A4A"/>
    <w:rsid w:val="541F721C"/>
    <w:rsid w:val="54801843"/>
    <w:rsid w:val="54EE666D"/>
    <w:rsid w:val="5599D6D3"/>
    <w:rsid w:val="561F0B20"/>
    <w:rsid w:val="56963A5E"/>
    <w:rsid w:val="56EF634F"/>
    <w:rsid w:val="56FF222C"/>
    <w:rsid w:val="570B1F9E"/>
    <w:rsid w:val="570C5CDB"/>
    <w:rsid w:val="57B79897"/>
    <w:rsid w:val="57F5C41D"/>
    <w:rsid w:val="585146C8"/>
    <w:rsid w:val="587753D7"/>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410803"/>
    <w:rsid w:val="625C7A39"/>
    <w:rsid w:val="62F021A1"/>
    <w:rsid w:val="63490BD7"/>
    <w:rsid w:val="63A364B9"/>
    <w:rsid w:val="63BE1555"/>
    <w:rsid w:val="63FA6B1B"/>
    <w:rsid w:val="647F13A0"/>
    <w:rsid w:val="64B79261"/>
    <w:rsid w:val="64D33A17"/>
    <w:rsid w:val="65114A69"/>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44"/>
    <w:qFormat/>
    <w:uiPriority w:val="0"/>
    <w:pPr>
      <w:spacing w:after="120" w:line="480" w:lineRule="auto"/>
      <w:ind w:left="420" w:leftChars="200" w:firstLine="200" w:firstLineChars="200"/>
    </w:pPr>
    <w:rPr>
      <w:szCs w:val="24"/>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1"/>
    <w:unhideWhenUsed/>
    <w:qFormat/>
    <w:uiPriority w:val="99"/>
    <w:pPr>
      <w:jc w:val="left"/>
    </w:pPr>
  </w:style>
  <w:style w:type="paragraph" w:styleId="9">
    <w:name w:val="Salutation"/>
    <w:basedOn w:val="1"/>
    <w:next w:val="1"/>
    <w:link w:val="42"/>
    <w:qFormat/>
    <w:uiPriority w:val="0"/>
    <w:rPr>
      <w:szCs w:val="20"/>
      <w:lang w:bidi="mn-Mong-CN"/>
    </w:rPr>
  </w:style>
  <w:style w:type="paragraph" w:styleId="10">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3"/>
    <w:unhideWhenUsed/>
    <w:qFormat/>
    <w:uiPriority w:val="99"/>
    <w:pPr>
      <w:ind w:left="100" w:leftChars="2500"/>
    </w:p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10"/>
    <w:qFormat/>
    <w:uiPriority w:val="0"/>
    <w:rPr>
      <w:rFonts w:ascii="仿宋_GB2312" w:hAnsi="仿宋_GB2312" w:eastAsia="仿宋_GB2312" w:cs="Times New Roman"/>
      <w:sz w:val="30"/>
      <w:szCs w:val="30"/>
      <w:lang w:eastAsia="en-US" w:bidi="ar-SA"/>
    </w:rPr>
  </w:style>
  <w:style w:type="character" w:customStyle="1" w:styleId="38">
    <w:name w:val="标题 1 Char1"/>
    <w:link w:val="3"/>
    <w:qFormat/>
    <w:uiPriority w:val="0"/>
    <w:rPr>
      <w:rFonts w:ascii="等线" w:hAnsi="等线" w:eastAsia="等线" w:cs="Times New Roman"/>
      <w:b/>
      <w:bCs/>
      <w:kern w:val="44"/>
      <w:sz w:val="44"/>
      <w:szCs w:val="44"/>
      <w:lang w:bidi="ar-SA"/>
    </w:rPr>
  </w:style>
  <w:style w:type="character" w:customStyle="1" w:styleId="39">
    <w:name w:val="标题 2 Char1"/>
    <w:link w:val="4"/>
    <w:qFormat/>
    <w:uiPriority w:val="9"/>
    <w:rPr>
      <w:rFonts w:ascii="Calibri Light" w:hAnsi="Calibri Light" w:eastAsia="宋体" w:cs="Mongolian Baiti"/>
      <w:b/>
      <w:bCs/>
      <w:sz w:val="32"/>
      <w:szCs w:val="32"/>
      <w:lang w:bidi="ar-SA"/>
    </w:rPr>
  </w:style>
  <w:style w:type="character" w:customStyle="1" w:styleId="40">
    <w:name w:val="标题 3 Char"/>
    <w:link w:val="5"/>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8"/>
    <w:qFormat/>
    <w:uiPriority w:val="99"/>
    <w:rPr>
      <w:rFonts w:ascii="Times New Roman" w:hAnsi="Times New Roman" w:eastAsia="宋体" w:cs="Times New Roman"/>
      <w:szCs w:val="22"/>
      <w:lang w:bidi="ar-SA"/>
    </w:rPr>
  </w:style>
  <w:style w:type="character" w:customStyle="1" w:styleId="42">
    <w:name w:val="称呼 Char"/>
    <w:link w:val="9"/>
    <w:qFormat/>
    <w:uiPriority w:val="0"/>
    <w:rPr>
      <w:rFonts w:ascii="Times New Roman" w:hAnsi="Times New Roman" w:eastAsia="宋体" w:cs="Times New Roman"/>
      <w:kern w:val="2"/>
      <w:sz w:val="21"/>
    </w:rPr>
  </w:style>
  <w:style w:type="character" w:customStyle="1" w:styleId="43">
    <w:name w:val="日期 Char"/>
    <w:link w:val="14"/>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2"/>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4"/>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6"/>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3555</Words>
  <Characters>3894</Characters>
  <Lines>30</Lines>
  <Paragraphs>8</Paragraphs>
  <TotalTime>0</TotalTime>
  <ScaleCrop>false</ScaleCrop>
  <LinksUpToDate>false</LinksUpToDate>
  <CharactersWithSpaces>4058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2025-04-14T08:53:00Z</cp:lastPrinted>
  <dcterms:modified xsi:type="dcterms:W3CDTF">2025-04-29T07:28:04Z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BD801639C73443CEBF775A51AC7319D5_13</vt:lpwstr>
  </property>
  <property fmtid="{D5CDD505-2E9C-101B-9397-08002B2CF9AE}" pid="4" name="KSOTemplateDocerSaveRecord">
    <vt:lpwstr>eyJoZGlkIjoiNDk3ZDEyZDVkYmUwNTNmNjBjMmIxYmQxNzlhYTMxNTIiLCJ1c2VySWQiOiIzODYwMTY0MzUifQ==</vt:lpwstr>
  </property>
</Properties>
</file>