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71560">
      <w:pPr>
        <w:spacing w:line="360" w:lineRule="exact"/>
        <w:rPr>
          <w:spacing w:val="-5"/>
          <w:szCs w:val="21"/>
        </w:rPr>
      </w:pPr>
      <w:bookmarkStart w:id="0" w:name="_Toc142890354"/>
    </w:p>
    <w:p w14:paraId="53CFE6D5">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68E14B69">
      <w:pPr>
        <w:adjustRightInd w:val="0"/>
        <w:spacing w:line="360" w:lineRule="exact"/>
        <w:jc w:val="center"/>
        <w:rPr>
          <w:rFonts w:ascii="宋体" w:hAnsi="宋体"/>
          <w:spacing w:val="-4"/>
          <w:szCs w:val="21"/>
        </w:rPr>
      </w:pPr>
      <w:r>
        <w:rPr>
          <w:rFonts w:hint="eastAsia" w:ascii="宋体" w:hAnsi="宋体"/>
          <w:spacing w:val="-4"/>
          <w:szCs w:val="21"/>
        </w:rPr>
        <w:t>同意设置西丰县污水处理厂入河排污口的</w:t>
      </w:r>
      <w:r>
        <w:rPr>
          <w:rFonts w:ascii="宋体" w:hAnsi="宋体"/>
          <w:spacing w:val="-4"/>
          <w:szCs w:val="21"/>
        </w:rPr>
        <w:t>决定书</w:t>
      </w:r>
    </w:p>
    <w:p w14:paraId="6822142D">
      <w:pPr>
        <w:adjustRightInd w:val="0"/>
        <w:spacing w:line="360" w:lineRule="exact"/>
        <w:ind w:right="808"/>
        <w:jc w:val="right"/>
        <w:rPr>
          <w:rFonts w:ascii="宋体" w:hAnsi="宋体"/>
          <w:spacing w:val="-4"/>
          <w:szCs w:val="21"/>
        </w:rPr>
      </w:pPr>
      <w:bookmarkStart w:id="3" w:name="_GoBack"/>
      <w:bookmarkEnd w:id="3"/>
      <w:r>
        <w:rPr>
          <w:rFonts w:ascii="宋体" w:hAnsi="宋体"/>
          <w:spacing w:val="-4"/>
          <w:szCs w:val="21"/>
        </w:rPr>
        <w:t xml:space="preserve">    </w:t>
      </w:r>
    </w:p>
    <w:p w14:paraId="1DBA70C7">
      <w:pPr>
        <w:adjustRightInd w:val="0"/>
        <w:spacing w:line="360" w:lineRule="exact"/>
        <w:rPr>
          <w:rFonts w:ascii="宋体" w:hAnsi="宋体"/>
          <w:kern w:val="0"/>
          <w:szCs w:val="21"/>
          <w:lang w:val="zh-TW" w:eastAsia="zh-TW"/>
        </w:rPr>
      </w:pPr>
      <w:r>
        <w:rPr>
          <w:rFonts w:hint="eastAsia" w:ascii="宋体" w:hAnsi="宋体"/>
          <w:spacing w:val="-4"/>
          <w:szCs w:val="21"/>
        </w:rPr>
        <w:t>西丰县污水处理厂</w:t>
      </w:r>
      <w:r>
        <w:rPr>
          <w:rFonts w:ascii="宋体" w:hAnsi="宋体"/>
          <w:kern w:val="0"/>
          <w:szCs w:val="21"/>
          <w:lang w:val="zh-TW" w:eastAsia="zh-TW"/>
        </w:rPr>
        <w:t>：</w:t>
      </w:r>
    </w:p>
    <w:p w14:paraId="01C5D9BF">
      <w:pPr>
        <w:pStyle w:val="9"/>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w:t>
      </w:r>
      <w:r>
        <w:rPr>
          <w:rFonts w:hint="eastAsia" w:ascii="宋体" w:hAnsi="宋体" w:eastAsia="宋体"/>
          <w:spacing w:val="-6"/>
          <w:sz w:val="21"/>
          <w:szCs w:val="21"/>
          <w:lang w:val="en-US" w:eastAsia="zh-CN"/>
        </w:rPr>
        <w:t>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2</w:t>
      </w:r>
      <w:r>
        <w:rPr>
          <w:rFonts w:ascii="宋体" w:hAnsi="宋体" w:eastAsia="宋体"/>
          <w:spacing w:val="-6"/>
          <w:sz w:val="21"/>
          <w:szCs w:val="21"/>
          <w:lang w:eastAsia="zh-CN"/>
        </w:rPr>
        <w:t>月</w:t>
      </w:r>
      <w:r>
        <w:rPr>
          <w:rFonts w:hint="eastAsia" w:ascii="宋体" w:hAnsi="宋体" w:eastAsia="宋体"/>
          <w:spacing w:val="-6"/>
          <w:sz w:val="21"/>
          <w:szCs w:val="21"/>
          <w:lang w:val="en-US" w:eastAsia="zh-CN"/>
        </w:rPr>
        <w:t>14</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西丰县污水处理厂入河排污口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同意西丰县污水处理厂入河排污口</w:t>
      </w:r>
      <w:r>
        <w:rPr>
          <w:rFonts w:ascii="宋体" w:hAnsi="宋体" w:eastAsia="宋体"/>
          <w:spacing w:val="-6"/>
          <w:sz w:val="21"/>
          <w:szCs w:val="21"/>
          <w:lang w:eastAsia="zh-CN"/>
        </w:rPr>
        <w:t>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38B9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327D75F5">
            <w:pPr>
              <w:pStyle w:val="9"/>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65F427CB">
            <w:pPr>
              <w:widowControl/>
              <w:spacing w:line="360" w:lineRule="exact"/>
            </w:pPr>
            <w:r>
              <w:rPr>
                <w:szCs w:val="20"/>
              </w:rPr>
              <w:sym w:font="Wingdings 2" w:char="00A3"/>
            </w:r>
            <w:r>
              <w:rPr>
                <w:rFonts w:hint="eastAsia"/>
              </w:rPr>
              <w:t>工矿企业入河排污口</w:t>
            </w:r>
          </w:p>
          <w:p w14:paraId="0BD3F407">
            <w:pPr>
              <w:widowControl/>
              <w:spacing w:line="360" w:lineRule="exact"/>
            </w:pPr>
            <w:bookmarkStart w:id="1" w:name="OLE_LINK2"/>
            <w:bookmarkStart w:id="2" w:name="OLE_LINK1"/>
            <w:r>
              <w:rPr>
                <w:szCs w:val="20"/>
              </w:rPr>
              <w:sym w:font="Wingdings 2" w:char="00A3"/>
            </w:r>
            <w:bookmarkEnd w:id="1"/>
            <w:bookmarkEnd w:id="2"/>
            <w:r>
              <w:rPr>
                <w:rFonts w:hint="eastAsia"/>
              </w:rPr>
              <w:t>工业及其他各类园区污水处理厂入河排污口</w:t>
            </w:r>
          </w:p>
          <w:p w14:paraId="6DBF7658">
            <w:pPr>
              <w:widowControl/>
              <w:spacing w:line="360" w:lineRule="exact"/>
            </w:pPr>
            <w:r>
              <w:rPr>
                <w:szCs w:val="20"/>
              </w:rPr>
              <w:sym w:font="Wingdings 2" w:char="0052"/>
            </w:r>
            <w:r>
              <w:rPr>
                <w:rFonts w:hint="eastAsia"/>
              </w:rPr>
              <w:t>城镇污水处理厂入河排污口</w:t>
            </w:r>
          </w:p>
          <w:p w14:paraId="5C335050">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3DE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12080736">
            <w:pPr>
              <w:widowControl/>
              <w:spacing w:line="360" w:lineRule="exact"/>
              <w:jc w:val="center"/>
              <w:rPr>
                <w:szCs w:val="21"/>
              </w:rPr>
            </w:pPr>
            <w:r>
              <w:rPr>
                <w:rFonts w:hint="eastAsia"/>
                <w:szCs w:val="21"/>
              </w:rPr>
              <w:t>入河排污口名称</w:t>
            </w:r>
          </w:p>
        </w:tc>
        <w:tc>
          <w:tcPr>
            <w:tcW w:w="6115" w:type="dxa"/>
            <w:gridSpan w:val="6"/>
            <w:vAlign w:val="center"/>
          </w:tcPr>
          <w:p w14:paraId="28905990">
            <w:pPr>
              <w:widowControl/>
              <w:spacing w:line="360" w:lineRule="exact"/>
              <w:rPr>
                <w:szCs w:val="20"/>
              </w:rPr>
            </w:pPr>
            <w:r>
              <w:rPr>
                <w:rFonts w:hint="eastAsia"/>
                <w:szCs w:val="20"/>
              </w:rPr>
              <w:t>按照HJ1235规定予以命名：铁岭市西丰县污水处理厂排污口</w:t>
            </w:r>
          </w:p>
        </w:tc>
      </w:tr>
      <w:tr w14:paraId="643D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14419A0C">
            <w:pPr>
              <w:widowControl/>
              <w:spacing w:line="360" w:lineRule="exact"/>
              <w:jc w:val="center"/>
              <w:rPr>
                <w:szCs w:val="21"/>
              </w:rPr>
            </w:pPr>
            <w:r>
              <w:rPr>
                <w:rFonts w:hint="eastAsia"/>
                <w:szCs w:val="21"/>
              </w:rPr>
              <w:t>入河排污口编码</w:t>
            </w:r>
          </w:p>
        </w:tc>
        <w:tc>
          <w:tcPr>
            <w:tcW w:w="6115" w:type="dxa"/>
            <w:gridSpan w:val="6"/>
            <w:vAlign w:val="center"/>
          </w:tcPr>
          <w:p w14:paraId="7DA3C78C">
            <w:pPr>
              <w:ind w:firstLine="945" w:firstLineChars="450"/>
              <w:rPr>
                <w:szCs w:val="20"/>
              </w:rPr>
            </w:pPr>
            <w:r>
              <w:rPr>
                <w:rFonts w:hint="eastAsia"/>
                <w:szCs w:val="20"/>
              </w:rPr>
              <w:t>按照HJ1235规定予以编码：BA-211223-0023-SH-00</w:t>
            </w:r>
          </w:p>
          <w:p w14:paraId="11840FC3">
            <w:pPr>
              <w:ind w:firstLine="945" w:firstLineChars="450"/>
              <w:rPr>
                <w:szCs w:val="20"/>
              </w:rPr>
            </w:pPr>
          </w:p>
        </w:tc>
      </w:tr>
      <w:tr w14:paraId="2CD0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D35A80D">
            <w:pPr>
              <w:widowControl/>
              <w:spacing w:line="360" w:lineRule="exact"/>
              <w:jc w:val="center"/>
              <w:rPr>
                <w:szCs w:val="21"/>
              </w:rPr>
            </w:pPr>
            <w:r>
              <w:rPr>
                <w:rFonts w:hint="eastAsia"/>
                <w:szCs w:val="21"/>
              </w:rPr>
              <w:t>设置类型</w:t>
            </w:r>
          </w:p>
        </w:tc>
        <w:tc>
          <w:tcPr>
            <w:tcW w:w="6115" w:type="dxa"/>
            <w:gridSpan w:val="6"/>
            <w:vAlign w:val="center"/>
          </w:tcPr>
          <w:p w14:paraId="28B289FE">
            <w:pPr>
              <w:widowControl/>
              <w:spacing w:line="360" w:lineRule="exact"/>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52F2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183E4448">
            <w:pPr>
              <w:widowControl/>
              <w:spacing w:line="360" w:lineRule="exact"/>
              <w:rPr>
                <w:szCs w:val="20"/>
              </w:rPr>
            </w:pPr>
            <w:r>
              <w:rPr>
                <w:rFonts w:hint="eastAsia"/>
                <w:szCs w:val="20"/>
              </w:rPr>
              <w:t>责任主体基本情况</w:t>
            </w:r>
          </w:p>
        </w:tc>
      </w:tr>
      <w:tr w14:paraId="44C0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6481FF8">
            <w:pPr>
              <w:widowControl/>
              <w:spacing w:line="360" w:lineRule="exact"/>
              <w:rPr>
                <w:kern w:val="0"/>
                <w:szCs w:val="21"/>
              </w:rPr>
            </w:pPr>
            <w:r>
              <w:rPr>
                <w:rFonts w:hint="eastAsia"/>
                <w:kern w:val="0"/>
                <w:szCs w:val="21"/>
              </w:rPr>
              <w:t>责任主体名称：西丰县住房和城乡建设局</w:t>
            </w:r>
          </w:p>
        </w:tc>
      </w:tr>
      <w:tr w14:paraId="6020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33FAF342">
            <w:pPr>
              <w:widowControl/>
              <w:spacing w:line="360" w:lineRule="exact"/>
              <w:jc w:val="center"/>
              <w:rPr>
                <w:kern w:val="0"/>
                <w:szCs w:val="21"/>
              </w:rPr>
            </w:pPr>
            <w:r>
              <w:rPr>
                <w:rFonts w:hint="eastAsia"/>
                <w:kern w:val="0"/>
                <w:szCs w:val="21"/>
              </w:rPr>
              <w:t>详细地址</w:t>
            </w:r>
          </w:p>
        </w:tc>
        <w:tc>
          <w:tcPr>
            <w:tcW w:w="6115" w:type="dxa"/>
            <w:gridSpan w:val="6"/>
            <w:vAlign w:val="center"/>
          </w:tcPr>
          <w:p w14:paraId="518DB799">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西丰</w:t>
            </w:r>
            <w:r>
              <w:rPr>
                <w:szCs w:val="21"/>
                <w:u w:val="single"/>
              </w:rPr>
              <w:t xml:space="preserve">    </w:t>
            </w:r>
            <w:r>
              <w:rPr>
                <w:rFonts w:hint="eastAsia"/>
                <w:szCs w:val="21"/>
              </w:rPr>
              <w:t>县（区、旗）</w:t>
            </w:r>
            <w:r>
              <w:rPr>
                <w:szCs w:val="21"/>
                <w:u w:val="single"/>
              </w:rPr>
              <w:t xml:space="preserve"> </w:t>
            </w:r>
            <w:r>
              <w:rPr>
                <w:rFonts w:hint="eastAsia"/>
                <w:szCs w:val="21"/>
                <w:u w:val="single"/>
              </w:rPr>
              <w:t>西丰</w:t>
            </w:r>
            <w:r>
              <w:rPr>
                <w:szCs w:val="21"/>
                <w:u w:val="single"/>
              </w:rPr>
              <w:t xml:space="preserve">      </w:t>
            </w:r>
            <w:r>
              <w:rPr>
                <w:rFonts w:hint="eastAsia"/>
                <w:szCs w:val="21"/>
              </w:rPr>
              <w:t>乡（镇、街道）</w:t>
            </w:r>
            <w:r>
              <w:rPr>
                <w:szCs w:val="21"/>
                <w:u w:val="single"/>
              </w:rPr>
              <w:t xml:space="preserve">      </w:t>
            </w:r>
            <w:r>
              <w:rPr>
                <w:rFonts w:hint="eastAsia"/>
                <w:szCs w:val="21"/>
              </w:rPr>
              <w:t>村（社区）</w:t>
            </w:r>
            <w:r>
              <w:rPr>
                <w:rFonts w:hint="eastAsia"/>
                <w:szCs w:val="21"/>
                <w:u w:val="single"/>
              </w:rPr>
              <w:t>红旗路</w:t>
            </w:r>
            <w:r>
              <w:rPr>
                <w:szCs w:val="21"/>
                <w:u w:val="single"/>
              </w:rPr>
              <w:t xml:space="preserve">                      </w:t>
            </w:r>
          </w:p>
        </w:tc>
      </w:tr>
      <w:tr w14:paraId="0AA9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5828EE96">
            <w:pPr>
              <w:widowControl/>
              <w:spacing w:line="360" w:lineRule="exact"/>
              <w:jc w:val="center"/>
              <w:rPr>
                <w:szCs w:val="21"/>
              </w:rPr>
            </w:pPr>
            <w:r>
              <w:rPr>
                <w:rFonts w:hint="eastAsia"/>
                <w:szCs w:val="21"/>
              </w:rPr>
              <w:t>统一社会信用代码</w:t>
            </w:r>
          </w:p>
        </w:tc>
        <w:tc>
          <w:tcPr>
            <w:tcW w:w="6115" w:type="dxa"/>
            <w:gridSpan w:val="6"/>
            <w:vAlign w:val="center"/>
          </w:tcPr>
          <w:p w14:paraId="59D9909E">
            <w:pPr>
              <w:widowControl/>
              <w:spacing w:line="360" w:lineRule="exact"/>
            </w:pPr>
            <w:r>
              <w:rPr>
                <w:rFonts w:hint="eastAsia"/>
              </w:rPr>
              <w:t>11211223MB0N324928</w:t>
            </w:r>
          </w:p>
        </w:tc>
      </w:tr>
      <w:tr w14:paraId="49AB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24004D41">
            <w:pPr>
              <w:widowControl/>
              <w:spacing w:line="360" w:lineRule="exact"/>
              <w:jc w:val="center"/>
              <w:rPr>
                <w:szCs w:val="21"/>
              </w:rPr>
            </w:pPr>
            <w:r>
              <w:rPr>
                <w:rFonts w:hint="eastAsia"/>
                <w:szCs w:val="21"/>
              </w:rPr>
              <w:t>法定代表人及联系电话</w:t>
            </w:r>
          </w:p>
        </w:tc>
        <w:tc>
          <w:tcPr>
            <w:tcW w:w="6115" w:type="dxa"/>
            <w:gridSpan w:val="6"/>
            <w:vAlign w:val="center"/>
          </w:tcPr>
          <w:p w14:paraId="74DAC64A">
            <w:pPr>
              <w:widowControl/>
              <w:spacing w:line="360" w:lineRule="exact"/>
            </w:pPr>
            <w:r>
              <w:rPr>
                <w:rFonts w:hint="eastAsia"/>
              </w:rPr>
              <w:t>姓名：陈欣</w:t>
            </w:r>
            <w:r>
              <w:t xml:space="preserve">          </w:t>
            </w:r>
            <w:r>
              <w:rPr>
                <w:rFonts w:hint="eastAsia"/>
                <w:szCs w:val="21"/>
              </w:rPr>
              <w:t>联系电话：</w:t>
            </w:r>
            <w:r>
              <w:rPr>
                <w:szCs w:val="21"/>
              </w:rPr>
              <w:t xml:space="preserve">  </w:t>
            </w:r>
            <w:r>
              <w:rPr>
                <w:rFonts w:hint="eastAsia"/>
              </w:rPr>
              <w:t>024-</w:t>
            </w:r>
            <w:r>
              <w:rPr>
                <w:szCs w:val="21"/>
              </w:rPr>
              <w:t xml:space="preserve"> </w:t>
            </w:r>
            <w:r>
              <w:rPr>
                <w:rFonts w:hint="eastAsia"/>
              </w:rPr>
              <w:t>77842276</w:t>
            </w:r>
            <w:r>
              <w:rPr>
                <w:szCs w:val="21"/>
              </w:rPr>
              <w:t xml:space="preserve">  </w:t>
            </w:r>
          </w:p>
        </w:tc>
      </w:tr>
      <w:tr w14:paraId="234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4024EF28">
            <w:pPr>
              <w:widowControl/>
              <w:spacing w:line="360" w:lineRule="exact"/>
              <w:jc w:val="center"/>
              <w:rPr>
                <w:szCs w:val="21"/>
              </w:rPr>
            </w:pPr>
            <w:r>
              <w:rPr>
                <w:rFonts w:hint="eastAsia"/>
                <w:szCs w:val="21"/>
              </w:rPr>
              <w:t>行业类别</w:t>
            </w:r>
          </w:p>
        </w:tc>
        <w:tc>
          <w:tcPr>
            <w:tcW w:w="6115" w:type="dxa"/>
            <w:gridSpan w:val="6"/>
            <w:vAlign w:val="center"/>
          </w:tcPr>
          <w:p w14:paraId="6415C0D6">
            <w:pPr>
              <w:widowControl/>
              <w:spacing w:line="360" w:lineRule="exact"/>
            </w:pPr>
            <w:r>
              <w:rPr>
                <w:rFonts w:hint="eastAsia"/>
                <w:szCs w:val="21"/>
              </w:rPr>
              <w:t>污水处理及其再生利用</w:t>
            </w:r>
          </w:p>
        </w:tc>
      </w:tr>
      <w:tr w14:paraId="6CCF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435F91CA">
            <w:pPr>
              <w:widowControl/>
              <w:spacing w:line="360" w:lineRule="exact"/>
              <w:jc w:val="center"/>
              <w:rPr>
                <w:szCs w:val="21"/>
              </w:rPr>
            </w:pPr>
            <w:r>
              <w:rPr>
                <w:rFonts w:hint="eastAsia"/>
                <w:szCs w:val="20"/>
              </w:rPr>
              <w:t>排污许可证或排污登记编号</w:t>
            </w:r>
          </w:p>
        </w:tc>
        <w:tc>
          <w:tcPr>
            <w:tcW w:w="6115" w:type="dxa"/>
            <w:gridSpan w:val="6"/>
            <w:vAlign w:val="center"/>
          </w:tcPr>
          <w:p w14:paraId="7D29D4CD">
            <w:pPr>
              <w:widowControl/>
              <w:spacing w:line="360" w:lineRule="exact"/>
            </w:pPr>
            <w:r>
              <w:rPr>
                <w:rFonts w:hint="eastAsia"/>
              </w:rPr>
              <w:t>西丰县污水处理厂证书编号：9121011255079583X0002V</w:t>
            </w:r>
          </w:p>
        </w:tc>
      </w:tr>
      <w:tr w14:paraId="7B8D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09905D72">
            <w:pPr>
              <w:widowControl/>
              <w:spacing w:line="360" w:lineRule="exact"/>
              <w:jc w:val="center"/>
              <w:rPr>
                <w:szCs w:val="21"/>
              </w:rPr>
            </w:pPr>
            <w:r>
              <w:rPr>
                <w:rFonts w:hint="eastAsia"/>
                <w:szCs w:val="21"/>
              </w:rPr>
              <w:t>入河排污口</w:t>
            </w:r>
          </w:p>
          <w:p w14:paraId="37F9E48F">
            <w:pPr>
              <w:widowControl/>
              <w:spacing w:line="360" w:lineRule="exact"/>
              <w:jc w:val="center"/>
              <w:rPr>
                <w:szCs w:val="21"/>
              </w:rPr>
            </w:pPr>
            <w:r>
              <w:rPr>
                <w:rFonts w:hint="eastAsia"/>
                <w:szCs w:val="21"/>
              </w:rPr>
              <w:t>设置地点</w:t>
            </w:r>
          </w:p>
        </w:tc>
        <w:tc>
          <w:tcPr>
            <w:tcW w:w="6115" w:type="dxa"/>
            <w:gridSpan w:val="6"/>
            <w:vAlign w:val="center"/>
          </w:tcPr>
          <w:p w14:paraId="381B0042">
            <w:pPr>
              <w:widowControl/>
              <w:spacing w:line="360" w:lineRule="exact"/>
              <w:rPr>
                <w:szCs w:val="21"/>
              </w:rPr>
            </w:pPr>
            <w:r>
              <w:rPr>
                <w:rFonts w:hint="eastAsia"/>
                <w:szCs w:val="21"/>
              </w:rPr>
              <w:t>所在行政区域：</w:t>
            </w: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西丰</w:t>
            </w:r>
            <w:r>
              <w:rPr>
                <w:szCs w:val="21"/>
                <w:u w:val="single"/>
              </w:rPr>
              <w:t xml:space="preserve">       </w:t>
            </w:r>
            <w:r>
              <w:rPr>
                <w:rFonts w:hint="eastAsia"/>
                <w:szCs w:val="21"/>
              </w:rPr>
              <w:t>县（区、旗）</w:t>
            </w:r>
            <w:r>
              <w:rPr>
                <w:szCs w:val="21"/>
                <w:u w:val="single"/>
              </w:rPr>
              <w:t xml:space="preserve">     </w:t>
            </w:r>
            <w:r>
              <w:rPr>
                <w:rFonts w:hint="eastAsia"/>
                <w:szCs w:val="21"/>
                <w:u w:val="single"/>
              </w:rPr>
              <w:t>西丰</w:t>
            </w:r>
            <w:r>
              <w:rPr>
                <w:szCs w:val="21"/>
                <w:u w:val="single"/>
              </w:rPr>
              <w:t xml:space="preserve">    </w:t>
            </w:r>
            <w:r>
              <w:rPr>
                <w:rFonts w:hint="eastAsia"/>
                <w:szCs w:val="21"/>
              </w:rPr>
              <w:t>乡（镇、街道）</w:t>
            </w:r>
            <w:r>
              <w:rPr>
                <w:szCs w:val="21"/>
                <w:u w:val="single"/>
              </w:rPr>
              <w:t xml:space="preserve">       </w:t>
            </w:r>
            <w:r>
              <w:rPr>
                <w:rFonts w:hint="eastAsia"/>
                <w:szCs w:val="21"/>
              </w:rPr>
              <w:t>村（社区）</w:t>
            </w:r>
            <w:r>
              <w:rPr>
                <w:szCs w:val="21"/>
                <w:u w:val="single"/>
              </w:rPr>
              <w:t xml:space="preserve">       </w:t>
            </w:r>
          </w:p>
        </w:tc>
      </w:tr>
      <w:tr w14:paraId="3BD3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1823030E">
            <w:pPr>
              <w:widowControl/>
              <w:spacing w:line="360" w:lineRule="exact"/>
              <w:jc w:val="center"/>
              <w:rPr>
                <w:szCs w:val="21"/>
              </w:rPr>
            </w:pPr>
          </w:p>
        </w:tc>
        <w:tc>
          <w:tcPr>
            <w:tcW w:w="6115" w:type="dxa"/>
            <w:gridSpan w:val="6"/>
            <w:vAlign w:val="center"/>
          </w:tcPr>
          <w:p w14:paraId="34E879C1">
            <w:pPr>
              <w:widowControl/>
              <w:spacing w:line="360" w:lineRule="exact"/>
              <w:rPr>
                <w:szCs w:val="21"/>
              </w:rPr>
            </w:pPr>
            <w:r>
              <w:rPr>
                <w:rFonts w:hint="eastAsia"/>
                <w:szCs w:val="21"/>
              </w:rPr>
              <w:t>排入水体名称：寇河</w:t>
            </w:r>
          </w:p>
        </w:tc>
      </w:tr>
      <w:tr w14:paraId="372E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1114E11">
            <w:pPr>
              <w:widowControl/>
              <w:spacing w:line="360" w:lineRule="exact"/>
              <w:jc w:val="center"/>
              <w:rPr>
                <w:szCs w:val="21"/>
              </w:rPr>
            </w:pPr>
          </w:p>
        </w:tc>
        <w:tc>
          <w:tcPr>
            <w:tcW w:w="6115" w:type="dxa"/>
            <w:gridSpan w:val="6"/>
            <w:vAlign w:val="center"/>
          </w:tcPr>
          <w:p w14:paraId="093C075A">
            <w:pPr>
              <w:widowControl/>
              <w:spacing w:line="360" w:lineRule="exact"/>
              <w:rPr>
                <w:szCs w:val="21"/>
              </w:rPr>
            </w:pPr>
            <w:r>
              <w:rPr>
                <w:rFonts w:hint="eastAsia"/>
                <w:szCs w:val="21"/>
              </w:rPr>
              <w:t>所在流域：辽河流域</w:t>
            </w:r>
          </w:p>
        </w:tc>
      </w:tr>
      <w:tr w14:paraId="34BB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2830" w:type="dxa"/>
            <w:vMerge w:val="continue"/>
            <w:vAlign w:val="center"/>
          </w:tcPr>
          <w:p w14:paraId="746FB60E">
            <w:pPr>
              <w:widowControl/>
              <w:spacing w:line="360" w:lineRule="exact"/>
              <w:jc w:val="center"/>
              <w:rPr>
                <w:szCs w:val="21"/>
              </w:rPr>
            </w:pPr>
          </w:p>
        </w:tc>
        <w:tc>
          <w:tcPr>
            <w:tcW w:w="6115" w:type="dxa"/>
            <w:gridSpan w:val="6"/>
            <w:vAlign w:val="center"/>
          </w:tcPr>
          <w:p w14:paraId="4CFAC998">
            <w:r>
              <w:rPr>
                <w:rFonts w:hint="eastAsia"/>
                <w:szCs w:val="20"/>
              </w:rPr>
              <w:t>经度（十进制精确到小数点后六位，</w:t>
            </w:r>
            <w:r>
              <w:rPr>
                <w:szCs w:val="21"/>
              </w:rPr>
              <w:t>CGCS2000</w:t>
            </w:r>
            <w:r>
              <w:rPr>
                <w:rFonts w:hint="eastAsia"/>
                <w:szCs w:val="21"/>
              </w:rPr>
              <w:t>坐标系</w:t>
            </w:r>
            <w:r>
              <w:rPr>
                <w:rFonts w:hint="eastAsia"/>
                <w:szCs w:val="20"/>
              </w:rPr>
              <w:t>）：</w:t>
            </w:r>
            <w:r>
              <w:rPr>
                <w:szCs w:val="20"/>
              </w:rPr>
              <w:t>638697.757</w:t>
            </w:r>
            <w:r>
              <w:t xml:space="preserve"> </w:t>
            </w:r>
            <w:r>
              <w:rPr>
                <w:rFonts w:hint="eastAsia"/>
              </w:rPr>
              <w:t>（</w:t>
            </w:r>
            <w:r>
              <w:t>124.69346700</w:t>
            </w:r>
            <w:r>
              <w:rPr>
                <w:rFonts w:hint="eastAsia"/>
              </w:rPr>
              <w:t>）</w:t>
            </w:r>
          </w:p>
          <w:p w14:paraId="36E61093"/>
          <w:p w14:paraId="1C798D6E"/>
          <w:p w14:paraId="4C80B25C">
            <w:pPr>
              <w:widowControl/>
              <w:spacing w:line="360" w:lineRule="exact"/>
              <w:rPr>
                <w:szCs w:val="20"/>
              </w:rPr>
            </w:pPr>
            <w:r>
              <w:rPr>
                <w:rFonts w:hint="eastAsia"/>
                <w:szCs w:val="20"/>
              </w:rPr>
              <w:t>纬度（十进制精确到小数点后六位，</w:t>
            </w:r>
            <w:r>
              <w:rPr>
                <w:szCs w:val="21"/>
              </w:rPr>
              <w:t>CGCS2000</w:t>
            </w:r>
            <w:r>
              <w:rPr>
                <w:rFonts w:hint="eastAsia"/>
                <w:szCs w:val="21"/>
              </w:rPr>
              <w:t>坐标系</w:t>
            </w:r>
            <w:r>
              <w:rPr>
                <w:rFonts w:hint="eastAsia"/>
                <w:szCs w:val="20"/>
              </w:rPr>
              <w:t>）：</w:t>
            </w:r>
            <w:r>
              <w:rPr>
                <w:szCs w:val="20"/>
              </w:rPr>
              <w:t>4733812.360</w:t>
            </w:r>
            <w:r>
              <w:rPr>
                <w:rFonts w:hint="eastAsia"/>
                <w:szCs w:val="20"/>
              </w:rPr>
              <w:t xml:space="preserve"> （</w:t>
            </w:r>
            <w:r>
              <w:rPr>
                <w:szCs w:val="20"/>
              </w:rPr>
              <w:t>42.72726200</w:t>
            </w:r>
            <w:r>
              <w:rPr>
                <w:rFonts w:hint="eastAsia"/>
                <w:szCs w:val="20"/>
              </w:rPr>
              <w:t>）</w:t>
            </w:r>
          </w:p>
          <w:p w14:paraId="207255A8">
            <w:pPr>
              <w:widowControl/>
              <w:spacing w:line="360" w:lineRule="exact"/>
              <w:rPr>
                <w:szCs w:val="21"/>
              </w:rPr>
            </w:pPr>
          </w:p>
        </w:tc>
      </w:tr>
      <w:tr w14:paraId="6A80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3DA9124A">
            <w:pPr>
              <w:widowControl/>
              <w:spacing w:line="360" w:lineRule="exact"/>
              <w:jc w:val="center"/>
              <w:rPr>
                <w:szCs w:val="20"/>
              </w:rPr>
            </w:pPr>
            <w:r>
              <w:rPr>
                <w:rFonts w:hint="eastAsia"/>
                <w:szCs w:val="20"/>
              </w:rPr>
              <w:t>污水排放方式</w:t>
            </w:r>
          </w:p>
        </w:tc>
        <w:tc>
          <w:tcPr>
            <w:tcW w:w="1133" w:type="dxa"/>
            <w:vAlign w:val="center"/>
          </w:tcPr>
          <w:p w14:paraId="752152FB">
            <w:pPr>
              <w:widowControl/>
              <w:spacing w:line="360" w:lineRule="exact"/>
              <w:rPr>
                <w:szCs w:val="20"/>
              </w:rPr>
            </w:pPr>
            <w:r>
              <w:rPr>
                <w:szCs w:val="20"/>
              </w:rPr>
              <w:sym w:font="Wingdings 2" w:char="0052"/>
            </w:r>
            <w:r>
              <w:rPr>
                <w:rFonts w:hint="eastAsia"/>
                <w:szCs w:val="20"/>
              </w:rPr>
              <w:t>连续</w:t>
            </w:r>
            <w:r>
              <w:rPr>
                <w:szCs w:val="20"/>
              </w:rPr>
              <w:t xml:space="preserve"> </w:t>
            </w:r>
          </w:p>
          <w:p w14:paraId="40F8B2CB">
            <w:pPr>
              <w:widowControl/>
              <w:spacing w:line="360" w:lineRule="exact"/>
              <w:rPr>
                <w:szCs w:val="20"/>
              </w:rPr>
            </w:pPr>
            <w:r>
              <w:rPr>
                <w:szCs w:val="20"/>
              </w:rPr>
              <w:sym w:font="Wingdings 2" w:char="00A3"/>
            </w:r>
            <w:r>
              <w:rPr>
                <w:rFonts w:hint="eastAsia"/>
                <w:szCs w:val="20"/>
              </w:rPr>
              <w:t>间歇</w:t>
            </w:r>
          </w:p>
        </w:tc>
        <w:tc>
          <w:tcPr>
            <w:tcW w:w="851" w:type="dxa"/>
            <w:vMerge w:val="restart"/>
            <w:vAlign w:val="center"/>
          </w:tcPr>
          <w:p w14:paraId="3F47A9B2">
            <w:pPr>
              <w:widowControl/>
              <w:spacing w:line="360" w:lineRule="exact"/>
              <w:ind w:right="-105" w:rightChars="-50"/>
              <w:rPr>
                <w:szCs w:val="20"/>
              </w:rPr>
            </w:pPr>
            <w:r>
              <w:rPr>
                <w:rFonts w:hint="eastAsia"/>
                <w:szCs w:val="20"/>
              </w:rPr>
              <w:t>入河</w:t>
            </w:r>
          </w:p>
          <w:p w14:paraId="4FC7A795">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19409B35">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36350D5D">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762713E1">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0E20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4A3F10F1">
            <w:pPr>
              <w:widowControl/>
              <w:spacing w:line="360" w:lineRule="exact"/>
              <w:jc w:val="center"/>
              <w:rPr>
                <w:szCs w:val="20"/>
              </w:rPr>
            </w:pPr>
            <w:r>
              <w:rPr>
                <w:rFonts w:hint="eastAsia"/>
                <w:szCs w:val="21"/>
              </w:rPr>
              <w:t>是否共用</w:t>
            </w:r>
          </w:p>
        </w:tc>
        <w:tc>
          <w:tcPr>
            <w:tcW w:w="1133" w:type="dxa"/>
            <w:vAlign w:val="center"/>
          </w:tcPr>
          <w:p w14:paraId="38C3D462">
            <w:pPr>
              <w:widowControl/>
              <w:spacing w:line="360" w:lineRule="exact"/>
              <w:rPr>
                <w:szCs w:val="20"/>
              </w:rPr>
            </w:pPr>
            <w:r>
              <w:rPr>
                <w:szCs w:val="20"/>
              </w:rPr>
              <w:sym w:font="Wingdings 2" w:char="00A3"/>
            </w:r>
            <w:r>
              <w:rPr>
                <w:rFonts w:hint="eastAsia"/>
                <w:szCs w:val="20"/>
              </w:rPr>
              <w:t>是</w:t>
            </w:r>
          </w:p>
          <w:p w14:paraId="50AE741B">
            <w:pPr>
              <w:widowControl/>
              <w:spacing w:line="360" w:lineRule="exact"/>
              <w:rPr>
                <w:szCs w:val="20"/>
              </w:rPr>
            </w:pPr>
            <w:r>
              <w:rPr>
                <w:szCs w:val="20"/>
              </w:rPr>
              <w:sym w:font="Wingdings 2" w:char="0052"/>
            </w:r>
            <w:r>
              <w:rPr>
                <w:rFonts w:hint="eastAsia"/>
                <w:szCs w:val="20"/>
              </w:rPr>
              <w:t>否</w:t>
            </w:r>
          </w:p>
        </w:tc>
        <w:tc>
          <w:tcPr>
            <w:tcW w:w="851" w:type="dxa"/>
            <w:vMerge w:val="continue"/>
            <w:vAlign w:val="center"/>
          </w:tcPr>
          <w:p w14:paraId="1333B3C6">
            <w:pPr>
              <w:widowControl/>
              <w:spacing w:line="360" w:lineRule="exact"/>
              <w:rPr>
                <w:szCs w:val="20"/>
              </w:rPr>
            </w:pPr>
          </w:p>
        </w:tc>
        <w:tc>
          <w:tcPr>
            <w:tcW w:w="4131" w:type="dxa"/>
            <w:gridSpan w:val="4"/>
            <w:vMerge w:val="continue"/>
            <w:vAlign w:val="center"/>
          </w:tcPr>
          <w:p w14:paraId="4A284F6E">
            <w:pPr>
              <w:widowControl/>
              <w:spacing w:line="360" w:lineRule="exact"/>
              <w:rPr>
                <w:szCs w:val="20"/>
              </w:rPr>
            </w:pPr>
          </w:p>
        </w:tc>
      </w:tr>
      <w:tr w14:paraId="4DBA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210ABABE">
            <w:pPr>
              <w:widowControl/>
              <w:spacing w:line="360" w:lineRule="exact"/>
              <w:jc w:val="center"/>
              <w:rPr>
                <w:szCs w:val="20"/>
              </w:rPr>
            </w:pPr>
            <w:r>
              <w:rPr>
                <w:rFonts w:hint="eastAsia"/>
                <w:szCs w:val="28"/>
              </w:rPr>
              <w:t>入河排污口截面信息</w:t>
            </w:r>
          </w:p>
        </w:tc>
        <w:tc>
          <w:tcPr>
            <w:tcW w:w="6115" w:type="dxa"/>
            <w:gridSpan w:val="6"/>
            <w:vAlign w:val="center"/>
          </w:tcPr>
          <w:p w14:paraId="41D1B140">
            <w:pPr>
              <w:widowControl/>
              <w:spacing w:line="360" w:lineRule="exact"/>
              <w:rPr>
                <w:szCs w:val="20"/>
              </w:rPr>
            </w:pPr>
            <w:r>
              <w:rPr>
                <w:szCs w:val="20"/>
              </w:rPr>
              <w:sym w:font="Wingdings 2" w:char="0052"/>
            </w:r>
            <w:r>
              <w:rPr>
                <w:rFonts w:hint="eastAsia"/>
                <w:szCs w:val="20"/>
              </w:rPr>
              <w:t>圆形截面：</w:t>
            </w:r>
            <w:r>
              <w:rPr>
                <w:szCs w:val="20"/>
              </w:rPr>
              <w:t xml:space="preserve">d= </w:t>
            </w:r>
            <w:r>
              <w:rPr>
                <w:rFonts w:hint="eastAsia"/>
                <w:szCs w:val="20"/>
              </w:rPr>
              <w:t>1</w:t>
            </w:r>
            <w:r>
              <w:rPr>
                <w:szCs w:val="20"/>
              </w:rPr>
              <w:t xml:space="preserve">  m</w:t>
            </w:r>
            <w:r>
              <w:rPr>
                <w:rFonts w:hint="eastAsia"/>
                <w:szCs w:val="20"/>
              </w:rPr>
              <w:t>，</w:t>
            </w:r>
            <w:r>
              <w:rPr>
                <w:szCs w:val="20"/>
              </w:rPr>
              <w:t>S=</w:t>
            </w:r>
            <w:r>
              <w:rPr>
                <w:rFonts w:hint="eastAsia"/>
                <w:szCs w:val="20"/>
              </w:rPr>
              <w:t>0.785</w:t>
            </w:r>
            <w:r>
              <w:rPr>
                <w:szCs w:val="20"/>
              </w:rPr>
              <w:t xml:space="preserve"> m</w:t>
            </w:r>
            <w:r>
              <w:rPr>
                <w:szCs w:val="20"/>
                <w:vertAlign w:val="superscript"/>
              </w:rPr>
              <w:t>2</w:t>
            </w:r>
          </w:p>
        </w:tc>
      </w:tr>
      <w:tr w14:paraId="00E5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65AE978C">
            <w:pPr>
              <w:widowControl/>
              <w:spacing w:line="360" w:lineRule="exact"/>
              <w:rPr>
                <w:szCs w:val="28"/>
              </w:rPr>
            </w:pPr>
          </w:p>
        </w:tc>
        <w:tc>
          <w:tcPr>
            <w:tcW w:w="6115" w:type="dxa"/>
            <w:gridSpan w:val="6"/>
            <w:vAlign w:val="center"/>
          </w:tcPr>
          <w:p w14:paraId="29CEB3F7">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512E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6E28A3C7">
            <w:pPr>
              <w:widowControl/>
              <w:spacing w:line="360" w:lineRule="exact"/>
              <w:rPr>
                <w:szCs w:val="28"/>
              </w:rPr>
            </w:pPr>
          </w:p>
        </w:tc>
        <w:tc>
          <w:tcPr>
            <w:tcW w:w="6115" w:type="dxa"/>
            <w:gridSpan w:val="6"/>
            <w:vAlign w:val="center"/>
          </w:tcPr>
          <w:p w14:paraId="5D9BF234">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05A7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1CD167E4">
            <w:pPr>
              <w:widowControl/>
              <w:spacing w:line="360" w:lineRule="exact"/>
              <w:rPr>
                <w:szCs w:val="20"/>
              </w:rPr>
            </w:pPr>
            <w:r>
              <w:rPr>
                <w:rFonts w:hint="eastAsia"/>
                <w:szCs w:val="21"/>
              </w:rPr>
              <w:t>入河排污口污水排放量，入河排污口重点污染物排放种类、排放浓度和排放量</w:t>
            </w:r>
          </w:p>
        </w:tc>
      </w:tr>
      <w:tr w14:paraId="3EEA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25A0238B">
            <w:pPr>
              <w:widowControl/>
              <w:spacing w:line="360" w:lineRule="exact"/>
              <w:jc w:val="center"/>
              <w:rPr>
                <w:szCs w:val="20"/>
              </w:rPr>
            </w:pPr>
            <w:r>
              <w:rPr>
                <w:rFonts w:hint="eastAsia"/>
                <w:szCs w:val="20"/>
              </w:rPr>
              <w:t>污染物种类</w:t>
            </w:r>
          </w:p>
        </w:tc>
        <w:tc>
          <w:tcPr>
            <w:tcW w:w="1133" w:type="dxa"/>
            <w:vMerge w:val="restart"/>
            <w:vAlign w:val="center"/>
          </w:tcPr>
          <w:p w14:paraId="2DE16705">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4E34F381">
            <w:pPr>
              <w:widowControl/>
              <w:spacing w:line="360" w:lineRule="exact"/>
              <w:jc w:val="center"/>
              <w:rPr>
                <w:szCs w:val="20"/>
              </w:rPr>
            </w:pPr>
            <w:r>
              <w:rPr>
                <w:rFonts w:hint="eastAsia"/>
                <w:szCs w:val="20"/>
              </w:rPr>
              <w:t>全年</w:t>
            </w:r>
          </w:p>
        </w:tc>
        <w:tc>
          <w:tcPr>
            <w:tcW w:w="2571" w:type="dxa"/>
            <w:gridSpan w:val="2"/>
            <w:vAlign w:val="center"/>
          </w:tcPr>
          <w:p w14:paraId="404A701B">
            <w:pPr>
              <w:widowControl/>
              <w:spacing w:line="360" w:lineRule="exact"/>
              <w:jc w:val="center"/>
              <w:rPr>
                <w:szCs w:val="20"/>
              </w:rPr>
            </w:pPr>
            <w:r>
              <w:rPr>
                <w:rFonts w:hint="eastAsia"/>
                <w:szCs w:val="20"/>
              </w:rPr>
              <w:t>特殊时段（</w:t>
            </w:r>
            <w:r>
              <w:rPr>
                <w:szCs w:val="20"/>
              </w:rPr>
              <w:t>_</w:t>
            </w:r>
            <w:r>
              <w:rPr>
                <w:rFonts w:hint="eastAsia"/>
                <w:szCs w:val="20"/>
              </w:rPr>
              <w:t>12</w:t>
            </w:r>
            <w:r>
              <w:rPr>
                <w:szCs w:val="20"/>
              </w:rPr>
              <w:t>_</w:t>
            </w:r>
            <w:r>
              <w:rPr>
                <w:rFonts w:hint="eastAsia"/>
                <w:szCs w:val="20"/>
              </w:rPr>
              <w:t>月至4</w:t>
            </w:r>
            <w:r>
              <w:rPr>
                <w:szCs w:val="20"/>
              </w:rPr>
              <w:t>_</w:t>
            </w:r>
            <w:r>
              <w:rPr>
                <w:rFonts w:hint="eastAsia"/>
                <w:szCs w:val="20"/>
              </w:rPr>
              <w:t>月）</w:t>
            </w:r>
          </w:p>
        </w:tc>
      </w:tr>
      <w:tr w14:paraId="7E0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194CD501">
            <w:pPr>
              <w:spacing w:line="360" w:lineRule="exact"/>
              <w:rPr>
                <w:szCs w:val="20"/>
              </w:rPr>
            </w:pPr>
          </w:p>
        </w:tc>
        <w:tc>
          <w:tcPr>
            <w:tcW w:w="1133" w:type="dxa"/>
            <w:vMerge w:val="continue"/>
            <w:vAlign w:val="center"/>
          </w:tcPr>
          <w:p w14:paraId="5569D2B8">
            <w:pPr>
              <w:widowControl/>
              <w:spacing w:line="360" w:lineRule="exact"/>
              <w:jc w:val="center"/>
              <w:rPr>
                <w:szCs w:val="20"/>
              </w:rPr>
            </w:pPr>
          </w:p>
        </w:tc>
        <w:tc>
          <w:tcPr>
            <w:tcW w:w="1277" w:type="dxa"/>
            <w:gridSpan w:val="2"/>
            <w:vAlign w:val="center"/>
          </w:tcPr>
          <w:p w14:paraId="08CC5DDA">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18C376C1">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3B159100">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059A2E10">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386D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4AAB9AE3">
            <w:pPr>
              <w:widowControl/>
              <w:spacing w:line="360" w:lineRule="exact"/>
              <w:rPr>
                <w:szCs w:val="20"/>
              </w:rPr>
            </w:pPr>
            <w:r>
              <w:rPr>
                <w:rFonts w:hint="eastAsia"/>
                <w:szCs w:val="20"/>
              </w:rPr>
              <w:t>入河排污口合计</w:t>
            </w:r>
          </w:p>
        </w:tc>
      </w:tr>
      <w:tr w14:paraId="374B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56C5E9B">
            <w:pPr>
              <w:jc w:val="center"/>
              <w:rPr>
                <w:szCs w:val="20"/>
              </w:rPr>
            </w:pPr>
            <w:r>
              <w:t>COD</w:t>
            </w:r>
          </w:p>
        </w:tc>
        <w:tc>
          <w:tcPr>
            <w:tcW w:w="1133" w:type="dxa"/>
            <w:vAlign w:val="center"/>
          </w:tcPr>
          <w:p w14:paraId="35921941">
            <w:pPr>
              <w:jc w:val="center"/>
              <w:rPr>
                <w:szCs w:val="20"/>
              </w:rPr>
            </w:pPr>
            <w:r>
              <w:rPr>
                <w:rFonts w:hint="eastAsia"/>
              </w:rPr>
              <w:t>50</w:t>
            </w:r>
          </w:p>
        </w:tc>
        <w:tc>
          <w:tcPr>
            <w:tcW w:w="1277" w:type="dxa"/>
            <w:gridSpan w:val="2"/>
            <w:vMerge w:val="restart"/>
            <w:vAlign w:val="center"/>
          </w:tcPr>
          <w:p w14:paraId="64FB0B21">
            <w:pPr>
              <w:widowControl/>
              <w:spacing w:line="360" w:lineRule="exact"/>
              <w:rPr>
                <w:szCs w:val="20"/>
              </w:rPr>
            </w:pPr>
            <w:r>
              <w:rPr>
                <w:rFonts w:hint="eastAsia"/>
                <w:szCs w:val="20"/>
              </w:rPr>
              <w:t>1642.5</w:t>
            </w:r>
          </w:p>
        </w:tc>
        <w:tc>
          <w:tcPr>
            <w:tcW w:w="1134" w:type="dxa"/>
            <w:vAlign w:val="center"/>
          </w:tcPr>
          <w:p w14:paraId="7432CC54">
            <w:pPr>
              <w:jc w:val="center"/>
              <w:rPr>
                <w:szCs w:val="20"/>
              </w:rPr>
            </w:pPr>
            <w:r>
              <w:rPr>
                <w:rFonts w:hint="eastAsia"/>
                <w:szCs w:val="20"/>
              </w:rPr>
              <w:t>821.25</w:t>
            </w:r>
          </w:p>
        </w:tc>
        <w:tc>
          <w:tcPr>
            <w:tcW w:w="1418" w:type="dxa"/>
            <w:vMerge w:val="restart"/>
            <w:vAlign w:val="center"/>
          </w:tcPr>
          <w:p w14:paraId="2F6E53D3">
            <w:pPr>
              <w:widowControl/>
              <w:spacing w:line="360" w:lineRule="exact"/>
              <w:ind w:firstLine="105" w:firstLineChars="50"/>
              <w:rPr>
                <w:szCs w:val="20"/>
              </w:rPr>
            </w:pPr>
            <w:r>
              <w:rPr>
                <w:rFonts w:hint="eastAsia"/>
                <w:szCs w:val="20"/>
              </w:rPr>
              <w:t>45000</w:t>
            </w:r>
          </w:p>
        </w:tc>
        <w:tc>
          <w:tcPr>
            <w:tcW w:w="1153" w:type="dxa"/>
            <w:vAlign w:val="center"/>
          </w:tcPr>
          <w:p w14:paraId="2C0EED76">
            <w:pPr>
              <w:widowControl/>
              <w:spacing w:line="360" w:lineRule="exact"/>
              <w:rPr>
                <w:szCs w:val="20"/>
              </w:rPr>
            </w:pPr>
            <w:r>
              <w:rPr>
                <w:rFonts w:hint="eastAsia"/>
                <w:szCs w:val="20"/>
              </w:rPr>
              <w:t>2.25</w:t>
            </w:r>
          </w:p>
        </w:tc>
      </w:tr>
      <w:tr w14:paraId="4E16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A73216A">
            <w:pPr>
              <w:jc w:val="center"/>
              <w:rPr>
                <w:szCs w:val="20"/>
              </w:rPr>
            </w:pPr>
            <w:r>
              <w:t>NH3-N</w:t>
            </w:r>
          </w:p>
        </w:tc>
        <w:tc>
          <w:tcPr>
            <w:tcW w:w="1133" w:type="dxa"/>
            <w:vAlign w:val="center"/>
          </w:tcPr>
          <w:p w14:paraId="049600CD">
            <w:pPr>
              <w:jc w:val="center"/>
              <w:rPr>
                <w:szCs w:val="20"/>
              </w:rPr>
            </w:pPr>
            <w:r>
              <w:rPr>
                <w:rFonts w:hint="eastAsia"/>
              </w:rPr>
              <w:t>8</w:t>
            </w:r>
          </w:p>
        </w:tc>
        <w:tc>
          <w:tcPr>
            <w:tcW w:w="1277" w:type="dxa"/>
            <w:gridSpan w:val="2"/>
            <w:vMerge w:val="continue"/>
            <w:vAlign w:val="center"/>
          </w:tcPr>
          <w:p w14:paraId="108E9A2A">
            <w:pPr>
              <w:widowControl/>
              <w:spacing w:line="360" w:lineRule="exact"/>
              <w:rPr>
                <w:szCs w:val="20"/>
              </w:rPr>
            </w:pPr>
          </w:p>
        </w:tc>
        <w:tc>
          <w:tcPr>
            <w:tcW w:w="1134" w:type="dxa"/>
            <w:vAlign w:val="center"/>
          </w:tcPr>
          <w:p w14:paraId="7BF5D11C">
            <w:pPr>
              <w:jc w:val="center"/>
              <w:rPr>
                <w:szCs w:val="20"/>
              </w:rPr>
            </w:pPr>
            <w:r>
              <w:rPr>
                <w:rFonts w:hint="eastAsia"/>
                <w:szCs w:val="20"/>
              </w:rPr>
              <w:t>131.4</w:t>
            </w:r>
          </w:p>
        </w:tc>
        <w:tc>
          <w:tcPr>
            <w:tcW w:w="1418" w:type="dxa"/>
            <w:vMerge w:val="continue"/>
            <w:vAlign w:val="center"/>
          </w:tcPr>
          <w:p w14:paraId="6F6566DD">
            <w:pPr>
              <w:widowControl/>
              <w:spacing w:line="360" w:lineRule="exact"/>
              <w:rPr>
                <w:szCs w:val="20"/>
              </w:rPr>
            </w:pPr>
          </w:p>
        </w:tc>
        <w:tc>
          <w:tcPr>
            <w:tcW w:w="1153" w:type="dxa"/>
            <w:vAlign w:val="center"/>
          </w:tcPr>
          <w:p w14:paraId="7EC78D8B">
            <w:pPr>
              <w:widowControl/>
              <w:spacing w:line="360" w:lineRule="exact"/>
              <w:rPr>
                <w:szCs w:val="20"/>
              </w:rPr>
            </w:pPr>
            <w:r>
              <w:rPr>
                <w:rFonts w:hint="eastAsia"/>
                <w:szCs w:val="20"/>
              </w:rPr>
              <w:t>0.36</w:t>
            </w:r>
          </w:p>
        </w:tc>
      </w:tr>
      <w:tr w14:paraId="03F9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9DE7553">
            <w:pPr>
              <w:jc w:val="center"/>
              <w:rPr>
                <w:szCs w:val="20"/>
              </w:rPr>
            </w:pPr>
            <w:r>
              <w:t>总氮</w:t>
            </w:r>
          </w:p>
        </w:tc>
        <w:tc>
          <w:tcPr>
            <w:tcW w:w="1133" w:type="dxa"/>
            <w:vAlign w:val="center"/>
          </w:tcPr>
          <w:p w14:paraId="632FB2CD">
            <w:pPr>
              <w:jc w:val="center"/>
              <w:rPr>
                <w:szCs w:val="20"/>
              </w:rPr>
            </w:pPr>
            <w:r>
              <w:rPr>
                <w:rFonts w:hint="eastAsia"/>
              </w:rPr>
              <w:t>15</w:t>
            </w:r>
          </w:p>
        </w:tc>
        <w:tc>
          <w:tcPr>
            <w:tcW w:w="1277" w:type="dxa"/>
            <w:gridSpan w:val="2"/>
            <w:vMerge w:val="continue"/>
            <w:vAlign w:val="center"/>
          </w:tcPr>
          <w:p w14:paraId="1AD9AA1B">
            <w:pPr>
              <w:widowControl/>
              <w:spacing w:line="360" w:lineRule="exact"/>
              <w:rPr>
                <w:szCs w:val="20"/>
              </w:rPr>
            </w:pPr>
          </w:p>
        </w:tc>
        <w:tc>
          <w:tcPr>
            <w:tcW w:w="1134" w:type="dxa"/>
            <w:vAlign w:val="center"/>
          </w:tcPr>
          <w:p w14:paraId="34D4EDF4">
            <w:pPr>
              <w:jc w:val="center"/>
              <w:rPr>
                <w:szCs w:val="20"/>
              </w:rPr>
            </w:pPr>
            <w:r>
              <w:rPr>
                <w:rFonts w:hint="eastAsia"/>
                <w:szCs w:val="20"/>
              </w:rPr>
              <w:t>246.38</w:t>
            </w:r>
          </w:p>
        </w:tc>
        <w:tc>
          <w:tcPr>
            <w:tcW w:w="1418" w:type="dxa"/>
            <w:vMerge w:val="continue"/>
            <w:vAlign w:val="center"/>
          </w:tcPr>
          <w:p w14:paraId="49E4928A">
            <w:pPr>
              <w:widowControl/>
              <w:spacing w:line="360" w:lineRule="exact"/>
              <w:rPr>
                <w:szCs w:val="20"/>
              </w:rPr>
            </w:pPr>
          </w:p>
        </w:tc>
        <w:tc>
          <w:tcPr>
            <w:tcW w:w="1153" w:type="dxa"/>
            <w:vAlign w:val="center"/>
          </w:tcPr>
          <w:p w14:paraId="65B24E27">
            <w:pPr>
              <w:widowControl/>
              <w:spacing w:line="360" w:lineRule="exact"/>
              <w:rPr>
                <w:szCs w:val="20"/>
              </w:rPr>
            </w:pPr>
            <w:r>
              <w:rPr>
                <w:rFonts w:hint="eastAsia"/>
                <w:szCs w:val="20"/>
              </w:rPr>
              <w:t>0.68</w:t>
            </w:r>
          </w:p>
        </w:tc>
      </w:tr>
      <w:tr w14:paraId="2F9F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98A65CB">
            <w:pPr>
              <w:jc w:val="center"/>
              <w:rPr>
                <w:szCs w:val="20"/>
              </w:rPr>
            </w:pPr>
            <w:r>
              <w:t>总磷</w:t>
            </w:r>
          </w:p>
        </w:tc>
        <w:tc>
          <w:tcPr>
            <w:tcW w:w="1133" w:type="dxa"/>
            <w:vAlign w:val="center"/>
          </w:tcPr>
          <w:p w14:paraId="5BB98480">
            <w:pPr>
              <w:jc w:val="center"/>
              <w:rPr>
                <w:szCs w:val="20"/>
              </w:rPr>
            </w:pPr>
            <w:r>
              <w:rPr>
                <w:rFonts w:hint="eastAsia"/>
              </w:rPr>
              <w:t>0.5</w:t>
            </w:r>
          </w:p>
        </w:tc>
        <w:tc>
          <w:tcPr>
            <w:tcW w:w="1277" w:type="dxa"/>
            <w:gridSpan w:val="2"/>
            <w:vMerge w:val="continue"/>
            <w:vAlign w:val="center"/>
          </w:tcPr>
          <w:p w14:paraId="70ADE8AB">
            <w:pPr>
              <w:widowControl/>
              <w:spacing w:line="360" w:lineRule="exact"/>
              <w:rPr>
                <w:szCs w:val="20"/>
              </w:rPr>
            </w:pPr>
          </w:p>
        </w:tc>
        <w:tc>
          <w:tcPr>
            <w:tcW w:w="1134" w:type="dxa"/>
            <w:vAlign w:val="center"/>
          </w:tcPr>
          <w:p w14:paraId="2601824D">
            <w:pPr>
              <w:rPr>
                <w:szCs w:val="20"/>
              </w:rPr>
            </w:pPr>
            <w:r>
              <w:rPr>
                <w:rFonts w:hint="eastAsia"/>
                <w:szCs w:val="20"/>
              </w:rPr>
              <w:t xml:space="preserve">  8.21</w:t>
            </w:r>
          </w:p>
        </w:tc>
        <w:tc>
          <w:tcPr>
            <w:tcW w:w="1418" w:type="dxa"/>
            <w:vMerge w:val="continue"/>
            <w:vAlign w:val="center"/>
          </w:tcPr>
          <w:p w14:paraId="3159F987">
            <w:pPr>
              <w:widowControl/>
              <w:spacing w:line="360" w:lineRule="exact"/>
              <w:rPr>
                <w:szCs w:val="20"/>
              </w:rPr>
            </w:pPr>
          </w:p>
        </w:tc>
        <w:tc>
          <w:tcPr>
            <w:tcW w:w="1153" w:type="dxa"/>
            <w:vAlign w:val="center"/>
          </w:tcPr>
          <w:p w14:paraId="30A9806F">
            <w:pPr>
              <w:widowControl/>
              <w:spacing w:line="360" w:lineRule="exact"/>
              <w:rPr>
                <w:szCs w:val="20"/>
              </w:rPr>
            </w:pPr>
            <w:r>
              <w:rPr>
                <w:rFonts w:hint="eastAsia"/>
                <w:szCs w:val="20"/>
              </w:rPr>
              <w:t>0.022</w:t>
            </w:r>
          </w:p>
        </w:tc>
      </w:tr>
      <w:tr w14:paraId="58E9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1519DF3">
            <w:pPr>
              <w:widowControl/>
              <w:spacing w:line="360" w:lineRule="exact"/>
              <w:jc w:val="center"/>
              <w:rPr>
                <w:szCs w:val="20"/>
              </w:rPr>
            </w:pPr>
            <w:r>
              <w:rPr>
                <w:rFonts w:hint="eastAsia"/>
                <w:szCs w:val="20"/>
              </w:rPr>
              <w:t>（其他重点污染物）</w:t>
            </w:r>
          </w:p>
        </w:tc>
        <w:tc>
          <w:tcPr>
            <w:tcW w:w="1133" w:type="dxa"/>
            <w:vAlign w:val="center"/>
          </w:tcPr>
          <w:p w14:paraId="4976AAE7">
            <w:pPr>
              <w:widowControl/>
              <w:spacing w:line="360" w:lineRule="exact"/>
              <w:rPr>
                <w:szCs w:val="20"/>
              </w:rPr>
            </w:pPr>
          </w:p>
        </w:tc>
        <w:tc>
          <w:tcPr>
            <w:tcW w:w="1277" w:type="dxa"/>
            <w:gridSpan w:val="2"/>
            <w:vMerge w:val="continue"/>
            <w:vAlign w:val="center"/>
          </w:tcPr>
          <w:p w14:paraId="70F3CA5F">
            <w:pPr>
              <w:widowControl/>
              <w:spacing w:line="360" w:lineRule="exact"/>
              <w:rPr>
                <w:szCs w:val="20"/>
              </w:rPr>
            </w:pPr>
          </w:p>
        </w:tc>
        <w:tc>
          <w:tcPr>
            <w:tcW w:w="1134" w:type="dxa"/>
            <w:vAlign w:val="center"/>
          </w:tcPr>
          <w:p w14:paraId="1CEB04F5">
            <w:pPr>
              <w:widowControl/>
              <w:spacing w:line="360" w:lineRule="exact"/>
              <w:rPr>
                <w:szCs w:val="20"/>
              </w:rPr>
            </w:pPr>
          </w:p>
        </w:tc>
        <w:tc>
          <w:tcPr>
            <w:tcW w:w="1418" w:type="dxa"/>
            <w:vMerge w:val="continue"/>
            <w:vAlign w:val="center"/>
          </w:tcPr>
          <w:p w14:paraId="73CCF3C7">
            <w:pPr>
              <w:widowControl/>
              <w:spacing w:line="360" w:lineRule="exact"/>
              <w:rPr>
                <w:szCs w:val="20"/>
              </w:rPr>
            </w:pPr>
          </w:p>
        </w:tc>
        <w:tc>
          <w:tcPr>
            <w:tcW w:w="1153" w:type="dxa"/>
            <w:vAlign w:val="center"/>
          </w:tcPr>
          <w:p w14:paraId="5E3F5F2D">
            <w:pPr>
              <w:widowControl/>
              <w:spacing w:line="360" w:lineRule="exact"/>
              <w:rPr>
                <w:szCs w:val="20"/>
              </w:rPr>
            </w:pPr>
          </w:p>
        </w:tc>
      </w:tr>
      <w:tr w14:paraId="6ECD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68B1240">
            <w:pPr>
              <w:widowControl/>
              <w:snapToGrid w:val="0"/>
              <w:spacing w:line="360" w:lineRule="exact"/>
              <w:rPr>
                <w:szCs w:val="20"/>
              </w:rPr>
            </w:pPr>
            <w:r>
              <w:rPr>
                <w:rFonts w:hint="eastAsia"/>
                <w:szCs w:val="20"/>
              </w:rPr>
              <w:t>信息公开要求：</w:t>
            </w:r>
          </w:p>
          <w:p w14:paraId="40499A60">
            <w:pPr>
              <w:pStyle w:val="9"/>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2A30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2F21FF3D">
            <w:pPr>
              <w:widowControl/>
              <w:snapToGrid w:val="0"/>
              <w:spacing w:line="360" w:lineRule="exact"/>
              <w:rPr>
                <w:szCs w:val="20"/>
              </w:rPr>
            </w:pPr>
            <w:r>
              <w:rPr>
                <w:rFonts w:hint="eastAsia"/>
                <w:szCs w:val="20"/>
              </w:rPr>
              <w:t>水污染事故应急处理预案以及环境风险防范措施：</w:t>
            </w:r>
          </w:p>
          <w:p w14:paraId="403BC6AD">
            <w:pPr>
              <w:snapToGrid w:val="0"/>
              <w:spacing w:line="360" w:lineRule="exact"/>
              <w:ind w:firstLine="420" w:firstLineChars="200"/>
            </w:pPr>
            <w:r>
              <w:rPr>
                <w:rFonts w:hint="eastAsia"/>
              </w:rPr>
              <w:t>该入河排污口对应的责任主体</w:t>
            </w:r>
            <w:r>
              <w:rPr>
                <w:rFonts w:hint="eastAsia" w:ascii="宋体" w:hAnsi="宋体"/>
                <w:spacing w:val="-4"/>
                <w:szCs w:val="21"/>
                <w:u w:val="single"/>
              </w:rPr>
              <w:t>西丰县住房和城乡建设局</w:t>
            </w:r>
            <w:r>
              <w:rPr>
                <w:rFonts w:hint="eastAsia"/>
              </w:rPr>
              <w:t>应当按照排污单位有关要求，做好污染事故应急处理预案、环境风险防范及应急处置措施，具体包括：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3F0D1C63">
            <w:pPr>
              <w:rPr>
                <w:color w:val="000000" w:themeColor="text1"/>
                <w14:textFill>
                  <w14:solidFill>
                    <w14:schemeClr w14:val="tx1"/>
                  </w14:solidFill>
                </w14:textFill>
              </w:rPr>
            </w:pPr>
            <w:r>
              <w:rPr>
                <w:rFonts w:hint="eastAsia"/>
              </w:rPr>
              <w:t>2、</w:t>
            </w:r>
            <w:r>
              <w:rPr>
                <w:rFonts w:hint="eastAsia"/>
                <w:color w:val="000000" w:themeColor="text1"/>
                <w14:textFill>
                  <w14:solidFill>
                    <w14:schemeClr w14:val="tx1"/>
                  </w14:solidFill>
                </w14:textFill>
              </w:rPr>
              <w:t>项目建成运行后，必须加强废水处理设施的运行管理工作，确保正常运行和尾水达标排放，严格杜绝事故排放情况发生。为此污水处理厂采取如下防范与应急措施：</w:t>
            </w:r>
          </w:p>
          <w:p w14:paraId="647BF064">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）污水处理厂在设计、施工及设备选型时应严格要求，保证工程、设备质量。</w:t>
            </w:r>
          </w:p>
          <w:p w14:paraId="63C69B84">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）采用先进的中央控制系统，对变电站、污泥处理区、进水泵站以及主要处理构筑物进行电视监控，以便于及时发现事故隐患。</w:t>
            </w:r>
          </w:p>
          <w:p w14:paraId="6237F044">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加强运行设施的维护和管理，提高设施的完好率，关键设备及配件应备足备件，电源保证双回路供电。本工程用电为二级负荷，因现场情况只能引来一路电源，所以一路电源利用新建箱变为设备供电，另一路电源为车载柴油发电机接口做备用电源。两路电源一用一备，均应能满足</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负荷要求，当一路电源故障时，通过手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自动操作联络开关投入另一路电源。此外，一旦发生不可抗拒的自然灾害，应要求接管企业部分或全部停止向管道系统排污。</w:t>
            </w:r>
          </w:p>
          <w:p w14:paraId="6F52BC22">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）严格控制各处理单元的水量、水质、停留时间、负荷强度等工艺参数，确保处理效果的稳定性。配备流量、水质自动分析监控仪器，加强进出水的监测工作，定期取样测定，适时调控，使设备处于最佳工况。</w:t>
            </w:r>
          </w:p>
          <w:p w14:paraId="415C92DA">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）定期开展消毒池出口和排污口出口水量对比监测，以及排放管线沿线地下水水质监测，发现水量、水质异常及时查找原因。</w:t>
            </w:r>
          </w:p>
          <w:p w14:paraId="0509A274">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）针对污染事故识别，制定污水处理突发事件应急处置预案，并按照预案每年至少组织一次应急演习，提高防范和处理突发事件的技能，增强实战能力。</w:t>
            </w:r>
          </w:p>
        </w:tc>
      </w:tr>
      <w:tr w14:paraId="39FC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0931776E">
            <w:pPr>
              <w:pStyle w:val="9"/>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1AB0BE96">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05228D87">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1FE319E8">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3E298F25">
            <w:pPr>
              <w:pStyle w:val="9"/>
              <w:snapToGrid w:val="0"/>
              <w:spacing w:line="360" w:lineRule="exact"/>
              <w:ind w:left="0" w:firstLine="600" w:firstLineChars="200"/>
              <w:jc w:val="both"/>
              <w:rPr>
                <w:lang w:eastAsia="zh-CN"/>
              </w:rPr>
            </w:pPr>
          </w:p>
        </w:tc>
      </w:tr>
      <w:tr w14:paraId="3480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175BB923">
            <w:pPr>
              <w:pStyle w:val="9"/>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55FD0231">
            <w:pPr>
              <w:widowControl/>
              <w:snapToGrid w:val="0"/>
              <w:spacing w:line="360" w:lineRule="exact"/>
              <w:rPr>
                <w:szCs w:val="20"/>
              </w:rPr>
            </w:pPr>
          </w:p>
        </w:tc>
      </w:tr>
      <w:tr w14:paraId="7489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76535277">
            <w:pPr>
              <w:widowControl/>
              <w:snapToGrid w:val="0"/>
              <w:spacing w:line="360" w:lineRule="exact"/>
              <w:rPr>
                <w:kern w:val="0"/>
                <w:szCs w:val="21"/>
              </w:rPr>
            </w:pPr>
            <w:r>
              <w:rPr>
                <w:rFonts w:hint="eastAsia"/>
                <w:kern w:val="0"/>
                <w:szCs w:val="21"/>
              </w:rPr>
              <w:t>其他需要注意的事项：</w:t>
            </w:r>
          </w:p>
          <w:p w14:paraId="025C95FF">
            <w:pPr>
              <w:pStyle w:val="9"/>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59B1B35A">
            <w:pPr>
              <w:snapToGrid w:val="0"/>
              <w:spacing w:line="360" w:lineRule="exact"/>
              <w:ind w:firstLine="420" w:firstLineChars="200"/>
            </w:pPr>
            <w:r>
              <w:rPr>
                <w:rFonts w:hint="eastAsia"/>
              </w:rPr>
              <w:t>（二）……</w:t>
            </w:r>
          </w:p>
        </w:tc>
      </w:tr>
    </w:tbl>
    <w:p w14:paraId="074CEA62">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669C9708">
      <w:pPr>
        <w:pStyle w:val="9"/>
        <w:spacing w:before="0" w:line="360" w:lineRule="exact"/>
        <w:jc w:val="right"/>
        <w:rPr>
          <w:rFonts w:ascii="黑体" w:hAnsi="黑体" w:eastAsia="黑体"/>
          <w:color w:val="000000" w:themeColor="text1"/>
          <w:kern w:val="44"/>
          <w:szCs w:val="20"/>
          <w14:textFill>
            <w14:solidFill>
              <w14:schemeClr w14:val="tx1"/>
            </w14:solidFill>
          </w14:textFill>
        </w:rPr>
        <w:sectPr>
          <w:footerReference r:id="rId3" w:type="default"/>
          <w:pgSz w:w="11906" w:h="16838"/>
          <w:pgMar w:top="1276" w:right="1797" w:bottom="1440" w:left="1797" w:header="851" w:footer="992" w:gutter="0"/>
          <w:cols w:space="720" w:num="1"/>
          <w:docGrid w:type="linesAndChars" w:linePitch="312" w:charSpace="0"/>
        </w:sectPr>
      </w:pPr>
      <w:r>
        <w:rPr>
          <w:rFonts w:hint="eastAsia" w:ascii="宋体" w:hAnsi="宋体" w:eastAsia="宋体"/>
          <w:sz w:val="21"/>
          <w:szCs w:val="21"/>
          <w:lang w:eastAsia="zh-CN"/>
        </w:rPr>
        <w:t>2025</w:t>
      </w:r>
      <w:r>
        <w:rPr>
          <w:rFonts w:ascii="宋体" w:hAnsi="宋体" w:eastAsia="宋体"/>
          <w:sz w:val="21"/>
          <w:szCs w:val="21"/>
          <w:lang w:eastAsia="zh-CN"/>
        </w:rPr>
        <w:t xml:space="preserve">年 </w:t>
      </w:r>
      <w:r>
        <w:rPr>
          <w:rFonts w:hint="eastAsia" w:ascii="宋体" w:hAnsi="宋体" w:eastAsia="宋体"/>
          <w:sz w:val="21"/>
          <w:szCs w:val="21"/>
          <w:lang w:val="en-US" w:eastAsia="zh-CN"/>
        </w:rPr>
        <w:t>3</w:t>
      </w:r>
      <w:r>
        <w:rPr>
          <w:rFonts w:ascii="宋体" w:hAnsi="宋体" w:eastAsia="宋体"/>
          <w:sz w:val="21"/>
          <w:szCs w:val="21"/>
          <w:lang w:eastAsia="zh-CN"/>
        </w:rPr>
        <w:t xml:space="preserve">月 </w:t>
      </w:r>
      <w:r>
        <w:rPr>
          <w:rFonts w:hint="eastAsia" w:ascii="宋体" w:hAnsi="宋体" w:eastAsia="宋体"/>
          <w:sz w:val="21"/>
          <w:szCs w:val="21"/>
          <w:lang w:eastAsia="zh-CN"/>
        </w:rPr>
        <w:t>11</w:t>
      </w:r>
      <w:r>
        <w:rPr>
          <w:rFonts w:ascii="宋体" w:hAnsi="宋体" w:eastAsia="宋体"/>
          <w:sz w:val="21"/>
          <w:szCs w:val="21"/>
          <w:lang w:eastAsia="zh-CN"/>
        </w:rPr>
        <w:t>日</w:t>
      </w:r>
    </w:p>
    <w:bookmarkEnd w:id="0"/>
    <w:p w14:paraId="0655FF23">
      <w:pPr>
        <w:topLinePunct/>
        <w:adjustRightInd w:val="0"/>
        <w:spacing w:line="360" w:lineRule="exact"/>
        <w:jc w:val="both"/>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EADBF2-ECB5-499D-96DD-76078E89DB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embedRegular r:id="rId2" w:fontKey="{7FEC70C0-27EB-4A9E-939C-219FE6914413}"/>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FF17">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A2171D8"/>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7522184"/>
    <w:rsid w:val="478D47E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114A69"/>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5C1EFB"/>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9"/>
    <w:qFormat/>
    <w:uiPriority w:val="0"/>
    <w:rPr>
      <w:rFonts w:ascii="仿宋_GB2312" w:hAnsi="仿宋_GB2312" w:eastAsia="仿宋_GB2312" w:cs="Times New Roman"/>
      <w:sz w:val="30"/>
      <w:szCs w:val="30"/>
      <w:lang w:eastAsia="en-US" w:bidi="ar-SA"/>
    </w:rPr>
  </w:style>
  <w:style w:type="character" w:customStyle="1" w:styleId="38">
    <w:name w:val="标题 1 Char1"/>
    <w:link w:val="2"/>
    <w:qFormat/>
    <w:uiPriority w:val="0"/>
    <w:rPr>
      <w:rFonts w:ascii="等线" w:hAnsi="等线" w:eastAsia="等线" w:cs="Times New Roman"/>
      <w:b/>
      <w:bCs/>
      <w:kern w:val="44"/>
      <w:sz w:val="44"/>
      <w:szCs w:val="44"/>
      <w:lang w:bidi="ar-SA"/>
    </w:rPr>
  </w:style>
  <w:style w:type="character" w:customStyle="1" w:styleId="39">
    <w:name w:val="标题 2 Char1"/>
    <w:link w:val="3"/>
    <w:qFormat/>
    <w:uiPriority w:val="9"/>
    <w:rPr>
      <w:rFonts w:ascii="Calibri Light" w:hAnsi="Calibri Light" w:eastAsia="宋体" w:cs="Mongolian Baiti"/>
      <w:b/>
      <w:bCs/>
      <w:sz w:val="32"/>
      <w:szCs w:val="32"/>
      <w:lang w:bidi="ar-SA"/>
    </w:rPr>
  </w:style>
  <w:style w:type="character" w:customStyle="1" w:styleId="40">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7"/>
    <w:qFormat/>
    <w:uiPriority w:val="99"/>
    <w:rPr>
      <w:rFonts w:ascii="Times New Roman" w:hAnsi="Times New Roman" w:eastAsia="宋体" w:cs="Times New Roman"/>
      <w:szCs w:val="22"/>
      <w:lang w:bidi="ar-SA"/>
    </w:rPr>
  </w:style>
  <w:style w:type="character" w:customStyle="1" w:styleId="42">
    <w:name w:val="称呼 Char"/>
    <w:link w:val="8"/>
    <w:qFormat/>
    <w:uiPriority w:val="0"/>
    <w:rPr>
      <w:rFonts w:ascii="Times New Roman" w:hAnsi="Times New Roman" w:eastAsia="宋体" w:cs="Times New Roman"/>
      <w:kern w:val="2"/>
      <w:sz w:val="21"/>
    </w:rPr>
  </w:style>
  <w:style w:type="character" w:customStyle="1" w:styleId="43">
    <w:name w:val="日期 Char"/>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14"/>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3512</Words>
  <Characters>3844</Characters>
  <Lines>30</Lines>
  <Paragraphs>8</Paragraphs>
  <TotalTime>174</TotalTime>
  <ScaleCrop>false</ScaleCrop>
  <LinksUpToDate>false</LinksUpToDate>
  <CharactersWithSpaces>4090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2025-03-11T06:55:00Z</cp:lastPrinted>
  <dcterms:modified xsi:type="dcterms:W3CDTF">2025-04-29T07:24:23Z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825463D5C7514086AAA3B6CC5FAEFF90_13</vt:lpwstr>
  </property>
  <property fmtid="{D5CDD505-2E9C-101B-9397-08002B2CF9AE}" pid="4" name="KSOTemplateDocerSaveRecord">
    <vt:lpwstr>eyJoZGlkIjoiNDk3ZDEyZDVkYmUwNTNmNjBjMmIxYmQxNzlhYTMxNTIiLCJ1c2VySWQiOiIzODYwMTY0MzUifQ==</vt:lpwstr>
  </property>
</Properties>
</file>