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FBFAF">
      <w:pPr>
        <w:spacing w:line="360" w:lineRule="exact"/>
        <w:rPr>
          <w:spacing w:val="-5"/>
          <w:szCs w:val="21"/>
        </w:rPr>
      </w:pPr>
      <w:bookmarkStart w:id="0" w:name="_Toc142890354"/>
    </w:p>
    <w:p w14:paraId="71599F0E">
      <w:pPr>
        <w:adjustRightInd w:val="0"/>
        <w:spacing w:line="360" w:lineRule="exact"/>
        <w:jc w:val="center"/>
        <w:rPr>
          <w:rFonts w:hint="eastAsia" w:ascii="宋体" w:hAnsi="宋体"/>
          <w:spacing w:val="-5"/>
          <w:szCs w:val="21"/>
        </w:rPr>
      </w:pPr>
      <w:r>
        <w:rPr>
          <w:rFonts w:hint="eastAsia" w:ascii="宋体" w:hAnsi="宋体"/>
          <w:spacing w:val="-5"/>
          <w:szCs w:val="21"/>
        </w:rPr>
        <w:t>铁岭市生态环境局</w:t>
      </w:r>
    </w:p>
    <w:p w14:paraId="255CF52A">
      <w:pPr>
        <w:adjustRightInd w:val="0"/>
        <w:spacing w:line="360" w:lineRule="exact"/>
        <w:jc w:val="center"/>
        <w:rPr>
          <w:rFonts w:hint="eastAsia" w:ascii="宋体" w:hAnsi="宋体"/>
          <w:spacing w:val="-5"/>
          <w:szCs w:val="21"/>
        </w:rPr>
      </w:pPr>
      <w:r>
        <w:rPr>
          <w:rFonts w:hint="eastAsia" w:ascii="宋体" w:hAnsi="宋体"/>
          <w:spacing w:val="-5"/>
          <w:szCs w:val="21"/>
        </w:rPr>
        <w:t>同意辽宁昌图经济开发区污水处理设施设置入河排污口的决定书</w:t>
      </w:r>
    </w:p>
    <w:p w14:paraId="7065E765">
      <w:pPr>
        <w:adjustRightInd w:val="0"/>
        <w:spacing w:line="360" w:lineRule="exact"/>
        <w:ind w:right="808"/>
        <w:jc w:val="right"/>
        <w:rPr>
          <w:rFonts w:hint="eastAsia" w:ascii="宋体" w:hAnsi="宋体"/>
          <w:spacing w:val="-4"/>
          <w:szCs w:val="21"/>
        </w:rPr>
      </w:pPr>
      <w:r>
        <w:rPr>
          <w:rFonts w:ascii="宋体" w:hAnsi="宋体"/>
          <w:spacing w:val="-4"/>
          <w:szCs w:val="21"/>
        </w:rPr>
        <w:t>文书号：</w:t>
      </w:r>
      <w:r>
        <w:rPr>
          <w:rFonts w:hint="eastAsia" w:ascii="宋体" w:hAnsi="宋体"/>
          <w:spacing w:val="-4"/>
          <w:szCs w:val="21"/>
          <w:highlight w:val="none"/>
        </w:rPr>
        <w:t>铁市环审函[2025]</w:t>
      </w:r>
      <w:r>
        <w:rPr>
          <w:rFonts w:hint="eastAsia" w:ascii="宋体" w:hAnsi="宋体"/>
          <w:spacing w:val="-4"/>
          <w:szCs w:val="21"/>
          <w:highlight w:val="none"/>
          <w:lang w:val="en-US" w:eastAsia="zh-CN"/>
        </w:rPr>
        <w:t>79</w:t>
      </w:r>
      <w:r>
        <w:rPr>
          <w:rFonts w:hint="eastAsia" w:ascii="宋体" w:hAnsi="宋体"/>
          <w:spacing w:val="-4"/>
          <w:szCs w:val="21"/>
          <w:highlight w:val="none"/>
        </w:rPr>
        <w:t>号</w:t>
      </w:r>
      <w:r>
        <w:rPr>
          <w:rFonts w:ascii="宋体" w:hAnsi="宋体"/>
          <w:spacing w:val="-4"/>
          <w:szCs w:val="21"/>
          <w:highlight w:val="none"/>
        </w:rPr>
        <w:t xml:space="preserve">    </w:t>
      </w:r>
      <w:r>
        <w:rPr>
          <w:rFonts w:ascii="宋体" w:hAnsi="宋体"/>
          <w:color w:val="FF0000"/>
          <w:spacing w:val="-4"/>
          <w:szCs w:val="21"/>
        </w:rPr>
        <w:t xml:space="preserve"> </w:t>
      </w:r>
      <w:r>
        <w:rPr>
          <w:rFonts w:ascii="宋体" w:hAnsi="宋体"/>
          <w:spacing w:val="-4"/>
          <w:szCs w:val="21"/>
        </w:rPr>
        <w:t xml:space="preserve">    </w:t>
      </w:r>
    </w:p>
    <w:p w14:paraId="7CF533AA">
      <w:pPr>
        <w:adjustRightInd w:val="0"/>
        <w:spacing w:line="360" w:lineRule="exact"/>
        <w:rPr>
          <w:rFonts w:hint="eastAsia" w:ascii="宋体" w:hAnsi="宋体"/>
          <w:kern w:val="0"/>
          <w:szCs w:val="21"/>
          <w:lang w:val="zh-TW" w:eastAsia="zh-TW"/>
        </w:rPr>
      </w:pPr>
      <w:r>
        <w:rPr>
          <w:rFonts w:hint="eastAsia"/>
          <w:kern w:val="0"/>
          <w:szCs w:val="21"/>
        </w:rPr>
        <w:t>昌图县住房和城乡建设局</w:t>
      </w:r>
      <w:r>
        <w:rPr>
          <w:rFonts w:ascii="宋体" w:hAnsi="宋体"/>
          <w:kern w:val="0"/>
          <w:szCs w:val="21"/>
          <w:lang w:val="zh-TW" w:eastAsia="zh-TW"/>
        </w:rPr>
        <w:t>：</w:t>
      </w:r>
    </w:p>
    <w:p w14:paraId="0CF577EC">
      <w:pPr>
        <w:pStyle w:val="10"/>
        <w:adjustRightInd w:val="0"/>
        <w:spacing w:before="0" w:line="360" w:lineRule="exact"/>
        <w:ind w:right="107" w:firstLine="600"/>
        <w:jc w:val="both"/>
        <w:rPr>
          <w:rFonts w:hint="eastAsia" w:ascii="宋体" w:hAnsi="宋体" w:eastAsia="宋体"/>
          <w:spacing w:val="-6"/>
          <w:sz w:val="21"/>
          <w:szCs w:val="21"/>
          <w:lang w:eastAsia="zh-CN"/>
        </w:rPr>
      </w:pPr>
      <w:r>
        <w:rPr>
          <w:rFonts w:ascii="宋体" w:hAnsi="宋体" w:eastAsia="宋体"/>
          <w:spacing w:val="-6"/>
          <w:sz w:val="21"/>
          <w:szCs w:val="21"/>
          <w:lang w:eastAsia="zh-CN"/>
        </w:rPr>
        <w:t>你（单位）于</w:t>
      </w:r>
      <w:r>
        <w:rPr>
          <w:rFonts w:hint="eastAsia" w:ascii="宋体" w:hAnsi="宋体" w:eastAsia="宋体"/>
          <w:spacing w:val="-6"/>
          <w:sz w:val="21"/>
          <w:szCs w:val="21"/>
          <w:highlight w:val="none"/>
          <w:lang w:eastAsia="zh-CN"/>
        </w:rPr>
        <w:t>2025</w:t>
      </w:r>
      <w:r>
        <w:rPr>
          <w:rFonts w:ascii="宋体" w:hAnsi="宋体" w:eastAsia="宋体"/>
          <w:spacing w:val="-6"/>
          <w:sz w:val="21"/>
          <w:szCs w:val="21"/>
          <w:highlight w:val="none"/>
          <w:lang w:eastAsia="zh-CN"/>
        </w:rPr>
        <w:t>年</w:t>
      </w:r>
      <w:r>
        <w:rPr>
          <w:rFonts w:hint="eastAsia" w:ascii="宋体" w:hAnsi="宋体" w:eastAsia="宋体"/>
          <w:spacing w:val="-6"/>
          <w:sz w:val="21"/>
          <w:szCs w:val="21"/>
          <w:highlight w:val="none"/>
          <w:lang w:val="en-US" w:eastAsia="zh-CN"/>
        </w:rPr>
        <w:t>8</w:t>
      </w:r>
      <w:r>
        <w:rPr>
          <w:rFonts w:hint="eastAsia" w:ascii="宋体" w:hAnsi="宋体" w:eastAsia="宋体"/>
          <w:spacing w:val="-6"/>
          <w:sz w:val="21"/>
          <w:szCs w:val="21"/>
          <w:highlight w:val="none"/>
          <w:lang w:eastAsia="zh-CN"/>
        </w:rPr>
        <w:t>月</w:t>
      </w:r>
      <w:r>
        <w:rPr>
          <w:rFonts w:hint="eastAsia" w:ascii="宋体" w:hAnsi="宋体" w:eastAsia="宋体"/>
          <w:spacing w:val="-6"/>
          <w:sz w:val="21"/>
          <w:szCs w:val="21"/>
          <w:highlight w:val="none"/>
          <w:lang w:val="en-US" w:eastAsia="zh-CN"/>
        </w:rPr>
        <w:t>12</w:t>
      </w:r>
      <w:r>
        <w:rPr>
          <w:rFonts w:hint="eastAsia" w:ascii="宋体" w:hAnsi="宋体" w:eastAsia="宋体"/>
          <w:spacing w:val="-6"/>
          <w:sz w:val="21"/>
          <w:szCs w:val="21"/>
          <w:highlight w:val="none"/>
          <w:lang w:eastAsia="zh-CN"/>
        </w:rPr>
        <w:t>日</w:t>
      </w:r>
      <w:r>
        <w:rPr>
          <w:rFonts w:ascii="宋体" w:hAnsi="宋体" w:eastAsia="宋体"/>
          <w:spacing w:val="-6"/>
          <w:sz w:val="21"/>
          <w:szCs w:val="21"/>
          <w:lang w:eastAsia="zh-CN"/>
        </w:rPr>
        <w:t>向我部门提出了</w:t>
      </w:r>
      <w:r>
        <w:rPr>
          <w:rFonts w:hint="eastAsia" w:ascii="宋体" w:hAnsi="宋体" w:eastAsia="宋体"/>
          <w:spacing w:val="-6"/>
          <w:sz w:val="21"/>
          <w:szCs w:val="21"/>
          <w:lang w:eastAsia="zh-CN"/>
        </w:rPr>
        <w:t>辽宁昌图经济开发区</w:t>
      </w:r>
      <w:r>
        <w:rPr>
          <w:rFonts w:hint="eastAsia" w:ascii="宋体" w:hAnsi="宋体" w:eastAsia="宋体"/>
          <w:spacing w:val="-5"/>
          <w:sz w:val="21"/>
          <w:szCs w:val="21"/>
          <w:lang w:eastAsia="zh-CN"/>
        </w:rPr>
        <w:t>污水处理设施</w:t>
      </w:r>
      <w:r>
        <w:rPr>
          <w:rFonts w:hint="eastAsia" w:ascii="宋体" w:hAnsi="宋体" w:eastAsia="宋体"/>
          <w:spacing w:val="-6"/>
          <w:sz w:val="21"/>
          <w:szCs w:val="21"/>
          <w:lang w:eastAsia="zh-CN"/>
        </w:rPr>
        <w:t>入河排污口</w:t>
      </w:r>
      <w:r>
        <w:rPr>
          <w:rFonts w:ascii="宋体" w:hAnsi="宋体" w:eastAsia="宋体"/>
          <w:spacing w:val="-6"/>
          <w:sz w:val="21"/>
          <w:szCs w:val="21"/>
          <w:lang w:eastAsia="zh-CN"/>
        </w:rPr>
        <w:t>设置申请。</w:t>
      </w:r>
      <w:r>
        <w:rPr>
          <w:rFonts w:hint="eastAsia" w:ascii="宋体" w:hAnsi="宋体" w:eastAsia="宋体"/>
          <w:spacing w:val="-6"/>
          <w:sz w:val="21"/>
          <w:szCs w:val="21"/>
          <w:lang w:eastAsia="zh-CN"/>
        </w:rPr>
        <w:t>经审查，</w:t>
      </w:r>
      <w:r>
        <w:rPr>
          <w:rFonts w:ascii="宋体" w:hAnsi="宋体" w:eastAsia="宋体"/>
          <w:spacing w:val="-6"/>
          <w:sz w:val="21"/>
          <w:szCs w:val="21"/>
          <w:lang w:eastAsia="zh-CN"/>
        </w:rPr>
        <w:t>根据《中华人民共和国行政许可法》</w:t>
      </w:r>
      <w:r>
        <w:rPr>
          <w:rFonts w:hint="eastAsia" w:ascii="宋体" w:hAnsi="宋体" w:eastAsia="宋体"/>
          <w:spacing w:val="-6"/>
          <w:sz w:val="21"/>
          <w:szCs w:val="21"/>
          <w:lang w:eastAsia="zh-CN"/>
        </w:rPr>
        <w:t>《入河排污口监督管理办法》（生态环境部令第3</w:t>
      </w:r>
      <w:r>
        <w:rPr>
          <w:rFonts w:ascii="宋体" w:hAnsi="宋体" w:eastAsia="宋体"/>
          <w:spacing w:val="-6"/>
          <w:sz w:val="21"/>
          <w:szCs w:val="21"/>
          <w:lang w:eastAsia="zh-CN"/>
        </w:rPr>
        <w:t>5</w:t>
      </w:r>
      <w:r>
        <w:rPr>
          <w:rFonts w:hint="eastAsia" w:ascii="宋体" w:hAnsi="宋体" w:eastAsia="宋体"/>
          <w:spacing w:val="-6"/>
          <w:sz w:val="21"/>
          <w:szCs w:val="21"/>
          <w:lang w:eastAsia="zh-CN"/>
        </w:rPr>
        <w:t>号）</w:t>
      </w:r>
      <w:r>
        <w:rPr>
          <w:rFonts w:ascii="宋体" w:hAnsi="宋体" w:eastAsia="宋体"/>
          <w:spacing w:val="-6"/>
          <w:sz w:val="21"/>
          <w:szCs w:val="21"/>
          <w:lang w:eastAsia="zh-CN"/>
        </w:rPr>
        <w:t>的规定，</w:t>
      </w:r>
      <w:r>
        <w:rPr>
          <w:rFonts w:hint="eastAsia" w:ascii="宋体" w:hAnsi="宋体" w:eastAsia="宋体"/>
          <w:spacing w:val="-6"/>
          <w:sz w:val="21"/>
          <w:szCs w:val="21"/>
          <w:lang w:eastAsia="zh-CN"/>
        </w:rPr>
        <w:t>同意辽宁昌图经济开发区</w:t>
      </w:r>
      <w:r>
        <w:rPr>
          <w:rFonts w:hint="eastAsia" w:ascii="宋体" w:hAnsi="宋体" w:eastAsia="宋体"/>
          <w:spacing w:val="-5"/>
          <w:sz w:val="21"/>
          <w:szCs w:val="21"/>
          <w:lang w:eastAsia="zh-CN"/>
        </w:rPr>
        <w:t>污水处理设施</w:t>
      </w:r>
      <w:r>
        <w:rPr>
          <w:rFonts w:hint="eastAsia" w:ascii="宋体" w:hAnsi="宋体" w:eastAsia="宋体"/>
          <w:spacing w:val="-6"/>
          <w:sz w:val="21"/>
          <w:szCs w:val="21"/>
          <w:lang w:eastAsia="zh-CN"/>
        </w:rPr>
        <w:t>入河排污口</w:t>
      </w:r>
      <w:r>
        <w:rPr>
          <w:rFonts w:ascii="宋体" w:hAnsi="宋体" w:eastAsia="宋体"/>
          <w:spacing w:val="-6"/>
          <w:sz w:val="21"/>
          <w:szCs w:val="21"/>
          <w:lang w:eastAsia="zh-CN"/>
        </w:rPr>
        <w:t>设置决定如下：</w:t>
      </w:r>
    </w:p>
    <w:tbl>
      <w:tblPr>
        <w:tblStyle w:val="30"/>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259"/>
        <w:gridCol w:w="725"/>
        <w:gridCol w:w="426"/>
        <w:gridCol w:w="1321"/>
        <w:gridCol w:w="1231"/>
        <w:gridCol w:w="1153"/>
      </w:tblGrid>
      <w:tr w14:paraId="6F65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830" w:type="dxa"/>
            <w:vAlign w:val="center"/>
          </w:tcPr>
          <w:p w14:paraId="75E9AEC6">
            <w:pPr>
              <w:widowControl/>
              <w:spacing w:line="360" w:lineRule="exact"/>
              <w:jc w:val="center"/>
              <w:rPr>
                <w:rFonts w:ascii="Times New Roman" w:hAnsi="Times New Roman" w:eastAsia="宋体"/>
                <w:color w:val="auto"/>
                <w:kern w:val="2"/>
                <w:sz w:val="21"/>
                <w:szCs w:val="21"/>
                <w:lang w:eastAsia="zh-CN"/>
              </w:rPr>
            </w:pPr>
            <w:r>
              <w:rPr>
                <w:rFonts w:hint="eastAsia" w:eastAsiaTheme="minorEastAsia"/>
                <w:color w:val="auto"/>
                <w:szCs w:val="20"/>
                <w:lang w:eastAsia="zh-CN"/>
              </w:rPr>
              <w:br w:type="page"/>
            </w:r>
            <w:r>
              <w:rPr>
                <w:rFonts w:hint="eastAsia" w:eastAsiaTheme="minorEastAsia"/>
                <w:color w:val="auto"/>
                <w:szCs w:val="20"/>
                <w:lang w:eastAsia="zh-CN"/>
              </w:rPr>
              <w:t>入河排污口类型</w:t>
            </w:r>
          </w:p>
        </w:tc>
        <w:tc>
          <w:tcPr>
            <w:tcW w:w="6115" w:type="dxa"/>
            <w:gridSpan w:val="6"/>
            <w:vAlign w:val="center"/>
          </w:tcPr>
          <w:p w14:paraId="06186797">
            <w:pPr>
              <w:widowControl/>
              <w:spacing w:line="360" w:lineRule="exact"/>
            </w:pPr>
            <w:r>
              <w:rPr>
                <w:rFonts w:hint="eastAsia"/>
                <w:szCs w:val="20"/>
              </w:rPr>
              <w:sym w:font="Wingdings" w:char="00A8"/>
            </w:r>
            <w:r>
              <w:rPr>
                <w:rFonts w:hint="eastAsia"/>
              </w:rPr>
              <w:t>工矿企业入河排污口</w:t>
            </w:r>
          </w:p>
          <w:p w14:paraId="5F77FECD">
            <w:pPr>
              <w:widowControl/>
              <w:spacing w:line="360" w:lineRule="exact"/>
            </w:pPr>
            <w:r>
              <w:rPr>
                <w:szCs w:val="20"/>
              </w:rPr>
              <w:sym w:font="Wingdings 2" w:char="0052"/>
            </w:r>
            <w:r>
              <w:rPr>
                <w:rFonts w:hint="eastAsia"/>
              </w:rPr>
              <w:t>工业及其他各类园区污水处理厂入河排污口</w:t>
            </w:r>
          </w:p>
          <w:p w14:paraId="6D5386D9">
            <w:pPr>
              <w:widowControl/>
              <w:spacing w:line="360" w:lineRule="exact"/>
            </w:pPr>
            <w:bookmarkStart w:id="1" w:name="OLE_LINK1"/>
            <w:bookmarkStart w:id="2" w:name="OLE_LINK2"/>
            <w:r>
              <w:rPr>
                <w:szCs w:val="20"/>
              </w:rPr>
              <w:sym w:font="Wingdings 2" w:char="00A3"/>
            </w:r>
            <w:bookmarkEnd w:id="1"/>
            <w:bookmarkEnd w:id="2"/>
            <w:r>
              <w:rPr>
                <w:rFonts w:hint="eastAsia"/>
              </w:rPr>
              <w:t>城镇污水处理厂入河排污口</w:t>
            </w:r>
          </w:p>
          <w:p w14:paraId="4CCE1A0B">
            <w:pPr>
              <w:widowControl/>
              <w:spacing w:line="360" w:lineRule="exact"/>
            </w:pPr>
            <w:r>
              <w:rPr>
                <w:szCs w:val="20"/>
              </w:rPr>
              <w:sym w:font="Wingdings 2" w:char="00A3"/>
            </w:r>
            <w:r>
              <w:rPr>
                <w:rFonts w:hint="eastAsia"/>
                <w:szCs w:val="20"/>
              </w:rPr>
              <w:t>其他参照上述管理的入河排污口_</w:t>
            </w:r>
            <w:r>
              <w:rPr>
                <w:szCs w:val="20"/>
              </w:rPr>
              <w:t>______________</w:t>
            </w:r>
          </w:p>
        </w:tc>
      </w:tr>
      <w:tr w14:paraId="1422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830" w:type="dxa"/>
            <w:vAlign w:val="center"/>
          </w:tcPr>
          <w:p w14:paraId="202D8442">
            <w:pPr>
              <w:widowControl/>
              <w:spacing w:line="360" w:lineRule="exact"/>
              <w:jc w:val="center"/>
              <w:rPr>
                <w:color w:val="auto"/>
                <w:szCs w:val="21"/>
              </w:rPr>
            </w:pPr>
            <w:r>
              <w:rPr>
                <w:rFonts w:hint="eastAsia"/>
                <w:color w:val="auto"/>
                <w:szCs w:val="21"/>
              </w:rPr>
              <w:t>入河排污口名称</w:t>
            </w:r>
          </w:p>
        </w:tc>
        <w:tc>
          <w:tcPr>
            <w:tcW w:w="6115" w:type="dxa"/>
            <w:gridSpan w:val="6"/>
            <w:vAlign w:val="center"/>
          </w:tcPr>
          <w:p w14:paraId="5F5D1026">
            <w:pPr>
              <w:widowControl/>
              <w:spacing w:line="360" w:lineRule="exact"/>
              <w:rPr>
                <w:szCs w:val="20"/>
              </w:rPr>
            </w:pPr>
            <w:r>
              <w:rPr>
                <w:rFonts w:hint="eastAsia"/>
                <w:szCs w:val="20"/>
              </w:rPr>
              <w:t>辽宁昌图经济开发区污水处理设施入河排污口</w:t>
            </w:r>
          </w:p>
        </w:tc>
      </w:tr>
      <w:tr w14:paraId="4827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830" w:type="dxa"/>
            <w:vAlign w:val="center"/>
          </w:tcPr>
          <w:p w14:paraId="3A4915B6">
            <w:pPr>
              <w:widowControl/>
              <w:spacing w:line="360" w:lineRule="exact"/>
              <w:jc w:val="center"/>
              <w:rPr>
                <w:color w:val="auto"/>
                <w:szCs w:val="21"/>
              </w:rPr>
            </w:pPr>
            <w:r>
              <w:rPr>
                <w:rFonts w:hint="eastAsia" w:eastAsiaTheme="minorEastAsia"/>
                <w:color w:val="auto"/>
                <w:szCs w:val="20"/>
                <w:lang w:eastAsia="zh-CN"/>
              </w:rPr>
              <w:t>入河排污口编码</w:t>
            </w:r>
          </w:p>
        </w:tc>
        <w:tc>
          <w:tcPr>
            <w:tcW w:w="6115" w:type="dxa"/>
            <w:gridSpan w:val="6"/>
            <w:vAlign w:val="center"/>
          </w:tcPr>
          <w:p w14:paraId="4C45FE95">
            <w:pPr>
              <w:rPr>
                <w:szCs w:val="20"/>
              </w:rPr>
            </w:pPr>
          </w:p>
        </w:tc>
      </w:tr>
      <w:tr w14:paraId="21B3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830" w:type="dxa"/>
            <w:vAlign w:val="center"/>
          </w:tcPr>
          <w:p w14:paraId="05459793">
            <w:pPr>
              <w:widowControl/>
              <w:spacing w:line="360" w:lineRule="exact"/>
              <w:jc w:val="center"/>
              <w:rPr>
                <w:szCs w:val="21"/>
              </w:rPr>
            </w:pPr>
            <w:r>
              <w:rPr>
                <w:rFonts w:hint="eastAsia"/>
                <w:szCs w:val="21"/>
              </w:rPr>
              <w:t>设置类型</w:t>
            </w:r>
          </w:p>
        </w:tc>
        <w:tc>
          <w:tcPr>
            <w:tcW w:w="6115" w:type="dxa"/>
            <w:gridSpan w:val="6"/>
            <w:vAlign w:val="center"/>
          </w:tcPr>
          <w:p w14:paraId="220D78DA">
            <w:pPr>
              <w:widowControl/>
              <w:spacing w:line="360" w:lineRule="exact"/>
              <w:rPr>
                <w:szCs w:val="20"/>
              </w:rPr>
            </w:pPr>
            <w:r>
              <w:rPr>
                <w:szCs w:val="20"/>
              </w:rPr>
              <w:sym w:font="Wingdings 2" w:char="0052"/>
            </w:r>
            <w:r>
              <w:rPr>
                <w:rFonts w:hint="eastAsia"/>
                <w:szCs w:val="21"/>
              </w:rPr>
              <w:t>新设（现有）</w:t>
            </w:r>
            <w:r>
              <w:rPr>
                <w:szCs w:val="20"/>
              </w:rPr>
              <w:t xml:space="preserve">  </w:t>
            </w:r>
            <w:r>
              <w:rPr>
                <w:szCs w:val="20"/>
              </w:rPr>
              <w:sym w:font="Wingdings 2" w:char="00A3"/>
            </w:r>
            <w:r>
              <w:rPr>
                <w:rFonts w:hint="eastAsia"/>
                <w:szCs w:val="21"/>
              </w:rPr>
              <w:t>改设</w:t>
            </w:r>
            <w:r>
              <w:rPr>
                <w:szCs w:val="20"/>
              </w:rPr>
              <w:t xml:space="preserve">  </w:t>
            </w:r>
            <w:r>
              <w:rPr>
                <w:rFonts w:hint="eastAsia"/>
                <w:szCs w:val="21"/>
              </w:rPr>
              <w:sym w:font="Wingdings" w:char="00A8"/>
            </w:r>
            <w:r>
              <w:rPr>
                <w:rFonts w:hint="eastAsia"/>
                <w:szCs w:val="21"/>
              </w:rPr>
              <w:t>扩大</w:t>
            </w:r>
            <w:r>
              <w:rPr>
                <w:szCs w:val="20"/>
              </w:rPr>
              <w:t xml:space="preserve"> </w:t>
            </w:r>
            <w:r>
              <w:rPr>
                <w:rFonts w:hint="eastAsia"/>
                <w:szCs w:val="20"/>
              </w:rPr>
              <w:t xml:space="preserve"> </w:t>
            </w:r>
          </w:p>
        </w:tc>
      </w:tr>
      <w:tr w14:paraId="1AE1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945" w:type="dxa"/>
            <w:gridSpan w:val="7"/>
            <w:vAlign w:val="center"/>
          </w:tcPr>
          <w:p w14:paraId="47E4B157">
            <w:pPr>
              <w:widowControl/>
              <w:spacing w:line="360" w:lineRule="exact"/>
              <w:rPr>
                <w:szCs w:val="20"/>
              </w:rPr>
            </w:pPr>
            <w:r>
              <w:rPr>
                <w:rFonts w:hint="eastAsia"/>
                <w:szCs w:val="20"/>
              </w:rPr>
              <w:t>责任主体基本情况</w:t>
            </w:r>
          </w:p>
        </w:tc>
      </w:tr>
      <w:tr w14:paraId="5210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945" w:type="dxa"/>
            <w:gridSpan w:val="7"/>
            <w:vAlign w:val="center"/>
          </w:tcPr>
          <w:p w14:paraId="2240AA8C">
            <w:pPr>
              <w:widowControl/>
              <w:spacing w:line="360" w:lineRule="exact"/>
              <w:rPr>
                <w:kern w:val="0"/>
                <w:szCs w:val="21"/>
              </w:rPr>
            </w:pPr>
            <w:r>
              <w:rPr>
                <w:rFonts w:hint="eastAsia"/>
                <w:kern w:val="0"/>
                <w:szCs w:val="21"/>
              </w:rPr>
              <w:t>责任主体1名称：昌图县住房和城乡建设局</w:t>
            </w:r>
          </w:p>
        </w:tc>
      </w:tr>
      <w:tr w14:paraId="2A0F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830" w:type="dxa"/>
            <w:vAlign w:val="center"/>
          </w:tcPr>
          <w:p w14:paraId="751EBA8E">
            <w:pPr>
              <w:widowControl/>
              <w:spacing w:line="360" w:lineRule="exact"/>
              <w:jc w:val="center"/>
              <w:rPr>
                <w:kern w:val="0"/>
                <w:szCs w:val="21"/>
              </w:rPr>
            </w:pPr>
            <w:r>
              <w:rPr>
                <w:rFonts w:hint="eastAsia"/>
                <w:color w:val="000000" w:themeColor="text1"/>
                <w:kern w:val="0"/>
                <w:szCs w:val="21"/>
                <w14:textFill>
                  <w14:solidFill>
                    <w14:schemeClr w14:val="tx1"/>
                  </w14:solidFill>
                </w14:textFill>
              </w:rPr>
              <w:t>详细地址</w:t>
            </w:r>
          </w:p>
        </w:tc>
        <w:tc>
          <w:tcPr>
            <w:tcW w:w="6115" w:type="dxa"/>
            <w:gridSpan w:val="6"/>
            <w:vAlign w:val="center"/>
          </w:tcPr>
          <w:p w14:paraId="454E1998">
            <w:pPr>
              <w:widowControl/>
              <w:spacing w:line="360" w:lineRule="exact"/>
              <w:rPr>
                <w:kern w:val="0"/>
                <w:szCs w:val="21"/>
              </w:rPr>
            </w:pPr>
            <w:r>
              <w:rPr>
                <w:rFonts w:hint="eastAsia"/>
                <w:color w:val="000000" w:themeColor="text1"/>
                <w:szCs w:val="21"/>
                <w14:textFill>
                  <w14:solidFill>
                    <w14:schemeClr w14:val="tx1"/>
                  </w14:solidFill>
                </w14:textFill>
              </w:rPr>
              <w:t>所在行政区域：</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辽宁</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省（自治区、直辖市）</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铁岭</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市（州、盟）</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昌图</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县（区、</w:t>
            </w:r>
            <w:bookmarkStart w:id="21" w:name="_GoBack"/>
            <w:r>
              <w:rPr>
                <w:rFonts w:hint="eastAsia"/>
                <w:color w:val="auto"/>
                <w:szCs w:val="21"/>
              </w:rPr>
              <w:t>旗）</w:t>
            </w:r>
            <w:r>
              <w:rPr>
                <w:color w:val="auto"/>
                <w:szCs w:val="21"/>
                <w:u w:val="single"/>
              </w:rPr>
              <w:t xml:space="preserve"> </w:t>
            </w:r>
            <w:r>
              <w:rPr>
                <w:rFonts w:hint="eastAsia"/>
                <w:color w:val="auto"/>
                <w:szCs w:val="21"/>
                <w:u w:val="single"/>
                <w:lang w:eastAsia="zh-CN"/>
              </w:rPr>
              <w:t>昌图</w:t>
            </w:r>
            <w:r>
              <w:rPr>
                <w:rFonts w:hint="eastAsia"/>
                <w:color w:val="auto"/>
                <w:szCs w:val="21"/>
                <w:u w:val="single"/>
              </w:rPr>
              <w:t>镇</w:t>
            </w:r>
            <w:r>
              <w:rPr>
                <w:rFonts w:hint="eastAsia"/>
                <w:color w:val="auto"/>
                <w:szCs w:val="21"/>
              </w:rPr>
              <w:t>（乡、镇、街道）</w:t>
            </w:r>
            <w:r>
              <w:rPr>
                <w:rFonts w:hint="eastAsia"/>
                <w:color w:val="auto"/>
                <w:szCs w:val="21"/>
                <w:u w:val="single"/>
                <w:lang w:val="en-US" w:eastAsia="zh-CN"/>
              </w:rPr>
              <w:t>政府大路16号</w:t>
            </w:r>
            <w:r>
              <w:rPr>
                <w:color w:val="auto"/>
                <w:szCs w:val="21"/>
                <w:u w:val="single"/>
              </w:rPr>
              <w:t xml:space="preserve"> </w:t>
            </w:r>
            <w:bookmarkEnd w:id="21"/>
          </w:p>
        </w:tc>
      </w:tr>
      <w:tr w14:paraId="79F1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830" w:type="dxa"/>
            <w:vAlign w:val="center"/>
          </w:tcPr>
          <w:p w14:paraId="661751C1">
            <w:pPr>
              <w:widowControl/>
              <w:spacing w:line="360" w:lineRule="exact"/>
              <w:jc w:val="center"/>
              <w:rPr>
                <w:szCs w:val="21"/>
              </w:rPr>
            </w:pPr>
            <w:r>
              <w:rPr>
                <w:rFonts w:hint="eastAsia"/>
                <w:color w:val="000000" w:themeColor="text1"/>
                <w:szCs w:val="21"/>
                <w14:textFill>
                  <w14:solidFill>
                    <w14:schemeClr w14:val="tx1"/>
                  </w14:solidFill>
                </w14:textFill>
              </w:rPr>
              <w:t>统一社会信用代码</w:t>
            </w:r>
          </w:p>
        </w:tc>
        <w:tc>
          <w:tcPr>
            <w:tcW w:w="6115" w:type="dxa"/>
            <w:gridSpan w:val="6"/>
            <w:vAlign w:val="center"/>
          </w:tcPr>
          <w:p w14:paraId="24FD4873">
            <w:pPr>
              <w:widowControl/>
              <w:spacing w:line="360" w:lineRule="exact"/>
              <w:rPr>
                <w:rFonts w:hint="eastAsia"/>
              </w:rPr>
            </w:pPr>
            <w:r>
              <w:rPr>
                <w:color w:val="000000" w:themeColor="text1"/>
                <w:kern w:val="0"/>
                <w:szCs w:val="21"/>
                <w14:textFill>
                  <w14:solidFill>
                    <w14:schemeClr w14:val="tx1"/>
                  </w14:solidFill>
                </w14:textFill>
              </w:rPr>
              <w:t>11211224001</w:t>
            </w:r>
            <w:r>
              <w:rPr>
                <w:rFonts w:hint="eastAsia"/>
                <w:color w:val="000000" w:themeColor="text1"/>
                <w:kern w:val="0"/>
                <w:szCs w:val="21"/>
                <w14:textFill>
                  <w14:solidFill>
                    <w14:schemeClr w14:val="tx1"/>
                  </w14:solidFill>
                </w14:textFill>
              </w:rPr>
              <w:t>196244J</w:t>
            </w:r>
          </w:p>
        </w:tc>
      </w:tr>
      <w:tr w14:paraId="6657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vAlign w:val="center"/>
          </w:tcPr>
          <w:p w14:paraId="16BD72BD">
            <w:pPr>
              <w:widowControl/>
              <w:spacing w:line="360" w:lineRule="exact"/>
              <w:jc w:val="center"/>
              <w:rPr>
                <w:szCs w:val="21"/>
              </w:rPr>
            </w:pPr>
            <w:r>
              <w:rPr>
                <w:rFonts w:hint="eastAsia"/>
                <w:color w:val="000000" w:themeColor="text1"/>
                <w:szCs w:val="21"/>
                <w14:textFill>
                  <w14:solidFill>
                    <w14:schemeClr w14:val="tx1"/>
                  </w14:solidFill>
                </w14:textFill>
              </w:rPr>
              <w:t>法定代表人及联系电话</w:t>
            </w:r>
          </w:p>
        </w:tc>
        <w:tc>
          <w:tcPr>
            <w:tcW w:w="6115" w:type="dxa"/>
            <w:gridSpan w:val="6"/>
            <w:vAlign w:val="center"/>
          </w:tcPr>
          <w:p w14:paraId="226D95BB">
            <w:pPr>
              <w:widowControl/>
              <w:spacing w:line="360" w:lineRule="exact"/>
            </w:pPr>
            <w:r>
              <w:rPr>
                <w:rFonts w:hint="eastAsia"/>
                <w:color w:val="000000" w:themeColor="text1"/>
                <w14:textFill>
                  <w14:solidFill>
                    <w14:schemeClr w14:val="tx1"/>
                  </w14:solidFill>
                </w14:textFill>
              </w:rPr>
              <w:t>姓名：</w:t>
            </w:r>
            <w:r>
              <w:rPr>
                <w:rFonts w:hint="eastAsia"/>
                <w:color w:val="000000" w:themeColor="text1"/>
                <w:kern w:val="0"/>
                <w:szCs w:val="21"/>
                <w:highlight w:val="none"/>
                <w:lang w:eastAsia="zh-CN"/>
                <w14:textFill>
                  <w14:solidFill>
                    <w14:schemeClr w14:val="tx1"/>
                  </w14:solidFill>
                </w14:textFill>
              </w:rPr>
              <w:t>邢宇</w:t>
            </w:r>
            <w:r>
              <w:rPr>
                <w:color w:val="000000" w:themeColor="text1"/>
                <w14:textFill>
                  <w14:solidFill>
                    <w14:schemeClr w14:val="tx1"/>
                  </w14:solidFill>
                </w14:textFill>
              </w:rPr>
              <w:t xml:space="preserve">    </w:t>
            </w:r>
            <w:r>
              <w:rPr>
                <w:rFonts w:hint="eastAsia"/>
                <w:color w:val="000000" w:themeColor="text1"/>
                <w:szCs w:val="21"/>
                <w14:textFill>
                  <w14:solidFill>
                    <w14:schemeClr w14:val="tx1"/>
                  </w14:solidFill>
                </w14:textFill>
              </w:rPr>
              <w:t>联系电话：</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15841045211</w:t>
            </w:r>
            <w:r>
              <w:rPr>
                <w:color w:val="000000" w:themeColor="text1"/>
                <w:szCs w:val="21"/>
                <w14:textFill>
                  <w14:solidFill>
                    <w14:schemeClr w14:val="tx1"/>
                  </w14:solidFill>
                </w14:textFill>
              </w:rPr>
              <w:t xml:space="preserve">             </w:t>
            </w:r>
          </w:p>
        </w:tc>
      </w:tr>
      <w:tr w14:paraId="7FBE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vAlign w:val="center"/>
          </w:tcPr>
          <w:p w14:paraId="73F19CC0">
            <w:pPr>
              <w:widowControl/>
              <w:spacing w:line="360" w:lineRule="exact"/>
              <w:jc w:val="center"/>
              <w:rPr>
                <w:szCs w:val="21"/>
              </w:rPr>
            </w:pPr>
            <w:r>
              <w:rPr>
                <w:rFonts w:hint="eastAsia"/>
                <w:color w:val="000000" w:themeColor="text1"/>
                <w:szCs w:val="21"/>
                <w14:textFill>
                  <w14:solidFill>
                    <w14:schemeClr w14:val="tx1"/>
                  </w14:solidFill>
                </w14:textFill>
              </w:rPr>
              <w:t>行业类别</w:t>
            </w:r>
          </w:p>
        </w:tc>
        <w:tc>
          <w:tcPr>
            <w:tcW w:w="6115" w:type="dxa"/>
            <w:gridSpan w:val="6"/>
            <w:vAlign w:val="center"/>
          </w:tcPr>
          <w:p w14:paraId="1D960BA8">
            <w:pPr>
              <w:widowControl/>
              <w:jc w:val="left"/>
            </w:pPr>
            <w:r>
              <w:rPr>
                <w:rFonts w:hint="eastAsia"/>
                <w:color w:val="000000" w:themeColor="text1"/>
                <w:szCs w:val="21"/>
                <w14:textFill>
                  <w14:solidFill>
                    <w14:schemeClr w14:val="tx1"/>
                  </w14:solidFill>
                </w14:textFill>
              </w:rPr>
              <w:t>D4620污水处理及再生利用</w:t>
            </w:r>
          </w:p>
        </w:tc>
      </w:tr>
      <w:tr w14:paraId="2D0E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vAlign w:val="center"/>
          </w:tcPr>
          <w:p w14:paraId="12199A30">
            <w:pPr>
              <w:widowControl/>
              <w:spacing w:line="360" w:lineRule="exact"/>
              <w:jc w:val="center"/>
              <w:rPr>
                <w:szCs w:val="21"/>
              </w:rPr>
            </w:pPr>
            <w:r>
              <w:rPr>
                <w:rFonts w:hint="eastAsia"/>
                <w:szCs w:val="20"/>
              </w:rPr>
              <w:t>排污许可证或排污登记编号</w:t>
            </w:r>
          </w:p>
        </w:tc>
        <w:tc>
          <w:tcPr>
            <w:tcW w:w="6115" w:type="dxa"/>
            <w:gridSpan w:val="6"/>
            <w:vAlign w:val="center"/>
          </w:tcPr>
          <w:p w14:paraId="3B682051">
            <w:pPr>
              <w:widowControl/>
              <w:spacing w:line="360" w:lineRule="exact"/>
            </w:pPr>
            <w:r>
              <w:rPr>
                <w:rFonts w:hint="eastAsia"/>
              </w:rPr>
              <w:t>91211224318820287P004V</w:t>
            </w:r>
          </w:p>
        </w:tc>
      </w:tr>
      <w:tr w14:paraId="76F1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830" w:type="dxa"/>
            <w:vMerge w:val="restart"/>
            <w:vAlign w:val="center"/>
          </w:tcPr>
          <w:p w14:paraId="35B2B584">
            <w:pPr>
              <w:widowControl/>
              <w:spacing w:line="360" w:lineRule="exact"/>
              <w:jc w:val="center"/>
              <w:rPr>
                <w:szCs w:val="21"/>
              </w:rPr>
            </w:pPr>
            <w:r>
              <w:rPr>
                <w:rFonts w:hint="eastAsia"/>
                <w:szCs w:val="21"/>
              </w:rPr>
              <w:t>入河排污口</w:t>
            </w:r>
          </w:p>
          <w:p w14:paraId="3BCB3019">
            <w:pPr>
              <w:widowControl/>
              <w:spacing w:line="360" w:lineRule="exact"/>
              <w:jc w:val="center"/>
              <w:rPr>
                <w:szCs w:val="21"/>
              </w:rPr>
            </w:pPr>
            <w:r>
              <w:rPr>
                <w:rFonts w:hint="eastAsia"/>
                <w:szCs w:val="21"/>
              </w:rPr>
              <w:t>设置地点</w:t>
            </w:r>
          </w:p>
        </w:tc>
        <w:tc>
          <w:tcPr>
            <w:tcW w:w="6115" w:type="dxa"/>
            <w:gridSpan w:val="6"/>
            <w:vAlign w:val="center"/>
          </w:tcPr>
          <w:p w14:paraId="42A984C4">
            <w:pPr>
              <w:widowControl/>
              <w:snapToGrid w:val="0"/>
              <w:spacing w:line="360" w:lineRule="exact"/>
              <w:rPr>
                <w:szCs w:val="21"/>
              </w:rPr>
            </w:pPr>
            <w:r>
              <w:rPr>
                <w:rFonts w:hint="eastAsia"/>
                <w:color w:val="000000" w:themeColor="text1"/>
                <w:szCs w:val="21"/>
                <w14:textFill>
                  <w14:solidFill>
                    <w14:schemeClr w14:val="tx1"/>
                  </w14:solidFill>
                </w14:textFill>
              </w:rPr>
              <w:t>所在行政区域：</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辽宁</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省（自治区、直辖市）</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铁岭</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市（州、盟）</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昌图</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县（区、旗）</w:t>
            </w:r>
            <w:r>
              <w:rPr>
                <w:rFonts w:hint="eastAsia"/>
                <w:color w:val="000000" w:themeColor="text1"/>
                <w:szCs w:val="21"/>
                <w:u w:val="single"/>
                <w14:textFill>
                  <w14:solidFill>
                    <w14:schemeClr w14:val="tx1"/>
                  </w14:solidFill>
                </w14:textFill>
              </w:rPr>
              <w:t>老四平镇</w:t>
            </w:r>
            <w:r>
              <w:rPr>
                <w:rFonts w:hint="eastAsia"/>
                <w:color w:val="000000" w:themeColor="text1"/>
                <w:szCs w:val="21"/>
                <w14:textFill>
                  <w14:solidFill>
                    <w14:schemeClr w14:val="tx1"/>
                  </w14:solidFill>
                </w14:textFill>
              </w:rPr>
              <w:t>（乡、镇、街道）</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金山村</w:t>
            </w:r>
            <w:r>
              <w:rPr>
                <w:color w:val="000000" w:themeColor="text1"/>
                <w:szCs w:val="21"/>
                <w:u w:val="single"/>
                <w14:textFill>
                  <w14:solidFill>
                    <w14:schemeClr w14:val="tx1"/>
                  </w14:solidFill>
                </w14:textFill>
              </w:rPr>
              <w:t xml:space="preserve">  </w:t>
            </w:r>
          </w:p>
        </w:tc>
      </w:tr>
      <w:tr w14:paraId="6A17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830" w:type="dxa"/>
            <w:vMerge w:val="continue"/>
            <w:vAlign w:val="center"/>
          </w:tcPr>
          <w:p w14:paraId="08625930">
            <w:pPr>
              <w:widowControl/>
              <w:spacing w:line="360" w:lineRule="exact"/>
              <w:jc w:val="center"/>
              <w:rPr>
                <w:szCs w:val="21"/>
              </w:rPr>
            </w:pPr>
          </w:p>
        </w:tc>
        <w:tc>
          <w:tcPr>
            <w:tcW w:w="6115" w:type="dxa"/>
            <w:gridSpan w:val="6"/>
            <w:vAlign w:val="center"/>
          </w:tcPr>
          <w:p w14:paraId="0B11B959">
            <w:pPr>
              <w:widowControl/>
              <w:snapToGrid w:val="0"/>
              <w:spacing w:line="360" w:lineRule="exact"/>
              <w:rPr>
                <w:rFonts w:hint="eastAsia" w:eastAsia="宋体"/>
                <w:szCs w:val="21"/>
                <w:lang w:val="en-US" w:eastAsia="zh-CN"/>
              </w:rPr>
            </w:pPr>
            <w:r>
              <w:rPr>
                <w:rFonts w:hint="eastAsia"/>
                <w:color w:val="000000" w:themeColor="text1"/>
                <w:szCs w:val="21"/>
                <w14:textFill>
                  <w14:solidFill>
                    <w14:schemeClr w14:val="tx1"/>
                  </w14:solidFill>
                </w14:textFill>
              </w:rPr>
              <w:t>排入水体名称：北太平河</w:t>
            </w:r>
            <w:r>
              <w:rPr>
                <w:rFonts w:hint="eastAsia"/>
                <w:color w:val="000000" w:themeColor="text1"/>
                <w:szCs w:val="21"/>
                <w:lang w:eastAsia="zh-CN"/>
                <w14:textFill>
                  <w14:solidFill>
                    <w14:schemeClr w14:val="tx1"/>
                  </w14:solidFill>
                </w14:textFill>
              </w:rPr>
              <w:t>北支</w:t>
            </w:r>
          </w:p>
        </w:tc>
      </w:tr>
      <w:tr w14:paraId="3A42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830" w:type="dxa"/>
            <w:vMerge w:val="continue"/>
            <w:vAlign w:val="center"/>
          </w:tcPr>
          <w:p w14:paraId="2CF1FF61">
            <w:pPr>
              <w:widowControl/>
              <w:spacing w:line="360" w:lineRule="exact"/>
              <w:jc w:val="center"/>
              <w:rPr>
                <w:szCs w:val="21"/>
              </w:rPr>
            </w:pPr>
          </w:p>
        </w:tc>
        <w:tc>
          <w:tcPr>
            <w:tcW w:w="6115" w:type="dxa"/>
            <w:gridSpan w:val="6"/>
            <w:vAlign w:val="center"/>
          </w:tcPr>
          <w:p w14:paraId="317C6E4D">
            <w:pPr>
              <w:widowControl/>
              <w:snapToGrid w:val="0"/>
              <w:spacing w:line="360" w:lineRule="exact"/>
              <w:rPr>
                <w:rFonts w:hint="eastAsia" w:eastAsia="宋体"/>
                <w:szCs w:val="21"/>
                <w:lang w:eastAsia="zh-CN"/>
              </w:rPr>
            </w:pPr>
            <w:r>
              <w:rPr>
                <w:rFonts w:hint="eastAsia"/>
                <w:color w:val="000000" w:themeColor="text1"/>
                <w:szCs w:val="21"/>
                <w14:textFill>
                  <w14:solidFill>
                    <w14:schemeClr w14:val="tx1"/>
                  </w14:solidFill>
                </w14:textFill>
              </w:rPr>
              <w:t>所在流域：</w:t>
            </w:r>
            <w:r>
              <w:rPr>
                <w:rFonts w:hint="eastAsia"/>
                <w:color w:val="000000" w:themeColor="text1"/>
                <w:szCs w:val="21"/>
                <w:lang w:eastAsia="zh-CN"/>
                <w14:textFill>
                  <w14:solidFill>
                    <w14:schemeClr w14:val="tx1"/>
                  </w14:solidFill>
                </w14:textFill>
              </w:rPr>
              <w:t>辽河流域</w:t>
            </w:r>
          </w:p>
        </w:tc>
      </w:tr>
      <w:tr w14:paraId="1059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830" w:type="dxa"/>
            <w:vMerge w:val="continue"/>
            <w:vAlign w:val="center"/>
          </w:tcPr>
          <w:p w14:paraId="259E6674">
            <w:pPr>
              <w:widowControl/>
              <w:spacing w:line="360" w:lineRule="exact"/>
              <w:jc w:val="center"/>
              <w:rPr>
                <w:szCs w:val="21"/>
              </w:rPr>
            </w:pPr>
          </w:p>
        </w:tc>
        <w:tc>
          <w:tcPr>
            <w:tcW w:w="6115" w:type="dxa"/>
            <w:gridSpan w:val="6"/>
            <w:vAlign w:val="center"/>
          </w:tcPr>
          <w:p w14:paraId="0424B81D">
            <w:pPr>
              <w:widowControl/>
              <w:snapToGrid w:val="0"/>
              <w:spacing w:line="360" w:lineRule="exact"/>
              <w:rPr>
                <w:color w:val="000000" w:themeColor="text1"/>
                <w:szCs w:val="21"/>
                <w14:textFill>
                  <w14:solidFill>
                    <w14:schemeClr w14:val="tx1"/>
                  </w14:solidFill>
                </w14:textFill>
              </w:rPr>
            </w:pPr>
            <w:r>
              <w:rPr>
                <w:rFonts w:hint="eastAsia"/>
                <w:color w:val="000000" w:themeColor="text1"/>
                <w:szCs w:val="20"/>
                <w14:textFill>
                  <w14:solidFill>
                    <w14:schemeClr w14:val="tx1"/>
                  </w14:solidFill>
                </w14:textFill>
              </w:rPr>
              <w:t>经度（十进制精确到小数点后六位，</w:t>
            </w:r>
            <w:r>
              <w:rPr>
                <w:color w:val="000000" w:themeColor="text1"/>
                <w:szCs w:val="21"/>
                <w14:textFill>
                  <w14:solidFill>
                    <w14:schemeClr w14:val="tx1"/>
                  </w14:solidFill>
                </w14:textFill>
              </w:rPr>
              <w:t>CGCS2000</w:t>
            </w:r>
            <w:r>
              <w:rPr>
                <w:rFonts w:hint="eastAsia"/>
                <w:color w:val="000000" w:themeColor="text1"/>
                <w:szCs w:val="21"/>
                <w14:textFill>
                  <w14:solidFill>
                    <w14:schemeClr w14:val="tx1"/>
                  </w14:solidFill>
                </w14:textFill>
              </w:rPr>
              <w:t>坐标系）：124.280</w:t>
            </w:r>
            <w:r>
              <w:rPr>
                <w:rFonts w:hint="eastAsia"/>
                <w:color w:val="000000" w:themeColor="text1"/>
                <w:szCs w:val="21"/>
                <w:lang w:val="en-US" w:eastAsia="zh-CN"/>
                <w14:textFill>
                  <w14:solidFill>
                    <w14:schemeClr w14:val="tx1"/>
                  </w14:solidFill>
                </w14:textFill>
              </w:rPr>
              <w:t>393</w:t>
            </w:r>
            <w:r>
              <w:rPr>
                <w:color w:val="000000" w:themeColor="text1"/>
                <w:szCs w:val="21"/>
                <w14:textFill>
                  <w14:solidFill>
                    <w14:schemeClr w14:val="tx1"/>
                  </w14:solidFill>
                </w14:textFill>
              </w:rPr>
              <w:t>°</w:t>
            </w:r>
          </w:p>
          <w:p w14:paraId="5C9D776F">
            <w:pPr>
              <w:widowControl/>
              <w:snapToGrid w:val="0"/>
              <w:spacing w:line="360" w:lineRule="exact"/>
            </w:pPr>
            <w:r>
              <w:rPr>
                <w:rFonts w:hint="eastAsia"/>
                <w:color w:val="000000" w:themeColor="text1"/>
                <w:szCs w:val="21"/>
                <w14:textFill>
                  <w14:solidFill>
                    <w14:schemeClr w14:val="tx1"/>
                  </w14:solidFill>
                </w14:textFill>
              </w:rPr>
              <w:t>纬度（十进制精确到小数点后六位，</w:t>
            </w:r>
            <w:r>
              <w:rPr>
                <w:color w:val="000000" w:themeColor="text1"/>
                <w:szCs w:val="21"/>
                <w14:textFill>
                  <w14:solidFill>
                    <w14:schemeClr w14:val="tx1"/>
                  </w14:solidFill>
                </w14:textFill>
              </w:rPr>
              <w:t>CGCS2000</w:t>
            </w:r>
            <w:r>
              <w:rPr>
                <w:rFonts w:hint="eastAsia"/>
                <w:color w:val="000000" w:themeColor="text1"/>
                <w:szCs w:val="21"/>
                <w14:textFill>
                  <w14:solidFill>
                    <w14:schemeClr w14:val="tx1"/>
                  </w14:solidFill>
                </w14:textFill>
              </w:rPr>
              <w:t>坐标系）：43.129</w:t>
            </w:r>
            <w:r>
              <w:rPr>
                <w:rFonts w:hint="eastAsia"/>
                <w:color w:val="000000" w:themeColor="text1"/>
                <w:szCs w:val="21"/>
                <w:lang w:val="en-US" w:eastAsia="zh-CN"/>
                <w14:textFill>
                  <w14:solidFill>
                    <w14:schemeClr w14:val="tx1"/>
                  </w14:solidFill>
                </w14:textFill>
              </w:rPr>
              <w:t>013</w:t>
            </w:r>
            <w:r>
              <w:rPr>
                <w:color w:val="000000" w:themeColor="text1"/>
                <w:szCs w:val="21"/>
                <w14:textFill>
                  <w14:solidFill>
                    <w14:schemeClr w14:val="tx1"/>
                  </w14:solidFill>
                </w14:textFill>
              </w:rPr>
              <w:t>°</w:t>
            </w:r>
          </w:p>
        </w:tc>
      </w:tr>
      <w:tr w14:paraId="7A9D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830" w:type="dxa"/>
            <w:vAlign w:val="center"/>
          </w:tcPr>
          <w:p w14:paraId="04DBFF51">
            <w:pPr>
              <w:widowControl/>
              <w:spacing w:line="360" w:lineRule="exact"/>
              <w:jc w:val="center"/>
              <w:rPr>
                <w:szCs w:val="20"/>
              </w:rPr>
            </w:pPr>
            <w:r>
              <w:rPr>
                <w:rFonts w:hint="eastAsia"/>
                <w:szCs w:val="20"/>
              </w:rPr>
              <w:t>污水排放方式</w:t>
            </w:r>
          </w:p>
        </w:tc>
        <w:tc>
          <w:tcPr>
            <w:tcW w:w="1259" w:type="dxa"/>
            <w:vAlign w:val="center"/>
          </w:tcPr>
          <w:p w14:paraId="09B4FCB2">
            <w:pPr>
              <w:widowControl/>
              <w:spacing w:line="360" w:lineRule="exact"/>
              <w:rPr>
                <w:szCs w:val="20"/>
              </w:rPr>
            </w:pPr>
            <w:r>
              <w:rPr>
                <w:szCs w:val="20"/>
              </w:rPr>
              <w:sym w:font="Wingdings 2" w:char="0052"/>
            </w:r>
            <w:r>
              <w:rPr>
                <w:rFonts w:hint="eastAsia"/>
                <w:szCs w:val="20"/>
              </w:rPr>
              <w:t>连续</w:t>
            </w:r>
            <w:r>
              <w:rPr>
                <w:szCs w:val="20"/>
              </w:rPr>
              <w:t xml:space="preserve"> </w:t>
            </w:r>
          </w:p>
          <w:p w14:paraId="454FD53C">
            <w:pPr>
              <w:widowControl/>
              <w:spacing w:line="360" w:lineRule="exact"/>
              <w:rPr>
                <w:szCs w:val="20"/>
              </w:rPr>
            </w:pPr>
            <w:r>
              <w:rPr>
                <w:szCs w:val="20"/>
              </w:rPr>
              <w:sym w:font="Wingdings" w:char="00A8"/>
            </w:r>
            <w:r>
              <w:rPr>
                <w:rFonts w:hint="eastAsia"/>
                <w:szCs w:val="20"/>
              </w:rPr>
              <w:t>间歇</w:t>
            </w:r>
          </w:p>
        </w:tc>
        <w:tc>
          <w:tcPr>
            <w:tcW w:w="725" w:type="dxa"/>
            <w:vMerge w:val="restart"/>
            <w:vAlign w:val="center"/>
          </w:tcPr>
          <w:p w14:paraId="28429B71">
            <w:pPr>
              <w:widowControl/>
              <w:spacing w:line="360" w:lineRule="exact"/>
              <w:ind w:right="-105" w:rightChars="-50"/>
              <w:rPr>
                <w:szCs w:val="20"/>
              </w:rPr>
            </w:pPr>
            <w:r>
              <w:rPr>
                <w:rFonts w:hint="eastAsia"/>
                <w:szCs w:val="20"/>
              </w:rPr>
              <w:t>入河</w:t>
            </w:r>
          </w:p>
          <w:p w14:paraId="355727A9">
            <w:pPr>
              <w:widowControl/>
              <w:spacing w:line="360" w:lineRule="exact"/>
              <w:ind w:right="-105" w:rightChars="-50"/>
              <w:rPr>
                <w:szCs w:val="20"/>
              </w:rPr>
            </w:pPr>
            <w:r>
              <w:rPr>
                <w:rFonts w:hint="eastAsia"/>
                <w:szCs w:val="20"/>
              </w:rPr>
              <w:t>方式</w:t>
            </w:r>
          </w:p>
        </w:tc>
        <w:tc>
          <w:tcPr>
            <w:tcW w:w="4131" w:type="dxa"/>
            <w:gridSpan w:val="4"/>
            <w:vMerge w:val="restart"/>
            <w:vAlign w:val="center"/>
          </w:tcPr>
          <w:p w14:paraId="6DCF1781">
            <w:pPr>
              <w:spacing w:line="360" w:lineRule="exact"/>
              <w:ind w:firstLine="315" w:firstLineChars="150"/>
              <w:rPr>
                <w:szCs w:val="20"/>
              </w:rPr>
            </w:pPr>
            <w:r>
              <w:rPr>
                <w:rFonts w:hint="eastAsia"/>
                <w:szCs w:val="20"/>
              </w:rPr>
              <w:sym w:font="Wingdings" w:char="00A8"/>
            </w:r>
            <w:r>
              <w:rPr>
                <w:rFonts w:hint="eastAsia"/>
                <w:szCs w:val="20"/>
              </w:rPr>
              <w:t>明渠</w:t>
            </w:r>
            <w:r>
              <w:rPr>
                <w:szCs w:val="20"/>
              </w:rPr>
              <w:t xml:space="preserve">  </w:t>
            </w:r>
            <w:r>
              <w:rPr>
                <w:szCs w:val="20"/>
              </w:rPr>
              <w:sym w:font="Wingdings" w:char="00FE"/>
            </w:r>
            <w:r>
              <w:rPr>
                <w:rFonts w:hint="eastAsia"/>
                <w:szCs w:val="20"/>
              </w:rPr>
              <w:t>管道</w:t>
            </w:r>
          </w:p>
          <w:p w14:paraId="08309AB4">
            <w:pPr>
              <w:spacing w:line="360" w:lineRule="exact"/>
              <w:ind w:firstLine="315" w:firstLineChars="150"/>
              <w:rPr>
                <w:szCs w:val="20"/>
              </w:rPr>
            </w:pPr>
            <w:r>
              <w:rPr>
                <w:szCs w:val="20"/>
              </w:rPr>
              <w:sym w:font="Wingdings 2" w:char="00A3"/>
            </w:r>
            <w:r>
              <w:rPr>
                <w:rFonts w:hint="eastAsia"/>
                <w:szCs w:val="20"/>
              </w:rPr>
              <w:t>泵站</w:t>
            </w:r>
            <w:r>
              <w:rPr>
                <w:szCs w:val="20"/>
              </w:rPr>
              <w:t xml:space="preserve">  </w:t>
            </w:r>
            <w:r>
              <w:rPr>
                <w:szCs w:val="20"/>
              </w:rPr>
              <w:sym w:font="Wingdings 2" w:char="00A3"/>
            </w:r>
            <w:r>
              <w:rPr>
                <w:rFonts w:hint="eastAsia"/>
                <w:szCs w:val="20"/>
              </w:rPr>
              <w:t>涵闸</w:t>
            </w:r>
          </w:p>
          <w:p w14:paraId="08876E4B">
            <w:pPr>
              <w:widowControl/>
              <w:spacing w:line="360" w:lineRule="exact"/>
              <w:ind w:firstLine="315" w:firstLineChars="150"/>
              <w:rPr>
                <w:szCs w:val="20"/>
              </w:rPr>
            </w:pPr>
            <w:r>
              <w:rPr>
                <w:szCs w:val="20"/>
              </w:rPr>
              <w:sym w:font="Wingdings 2" w:char="00A3"/>
            </w:r>
            <w:r>
              <w:rPr>
                <w:rFonts w:hint="eastAsia"/>
                <w:szCs w:val="20"/>
              </w:rPr>
              <w:t>箱涵</w:t>
            </w:r>
            <w:r>
              <w:rPr>
                <w:szCs w:val="20"/>
              </w:rPr>
              <w:t xml:space="preserve">  </w:t>
            </w:r>
            <w:r>
              <w:rPr>
                <w:szCs w:val="20"/>
              </w:rPr>
              <w:sym w:font="Wingdings 2" w:char="00A3"/>
            </w:r>
            <w:r>
              <w:rPr>
                <w:rFonts w:hint="eastAsia"/>
                <w:szCs w:val="20"/>
              </w:rPr>
              <w:t>其他：</w:t>
            </w:r>
            <w:r>
              <w:rPr>
                <w:szCs w:val="20"/>
              </w:rPr>
              <w:t>_______</w:t>
            </w:r>
          </w:p>
        </w:tc>
      </w:tr>
      <w:tr w14:paraId="59A0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830" w:type="dxa"/>
            <w:vAlign w:val="center"/>
          </w:tcPr>
          <w:p w14:paraId="1BF09FA4">
            <w:pPr>
              <w:widowControl/>
              <w:spacing w:line="360" w:lineRule="exact"/>
              <w:jc w:val="center"/>
              <w:rPr>
                <w:szCs w:val="20"/>
              </w:rPr>
            </w:pPr>
            <w:r>
              <w:rPr>
                <w:rFonts w:hint="eastAsia"/>
                <w:szCs w:val="21"/>
              </w:rPr>
              <w:t>是否共用</w:t>
            </w:r>
          </w:p>
        </w:tc>
        <w:tc>
          <w:tcPr>
            <w:tcW w:w="1259" w:type="dxa"/>
            <w:vAlign w:val="center"/>
          </w:tcPr>
          <w:p w14:paraId="47805E33">
            <w:pPr>
              <w:widowControl/>
              <w:spacing w:line="360" w:lineRule="exact"/>
              <w:rPr>
                <w:szCs w:val="20"/>
              </w:rPr>
            </w:pPr>
            <w:r>
              <w:rPr>
                <w:szCs w:val="20"/>
              </w:rPr>
              <w:sym w:font="Wingdings" w:char="00A8"/>
            </w:r>
            <w:r>
              <w:rPr>
                <w:rFonts w:hint="eastAsia"/>
                <w:szCs w:val="20"/>
              </w:rPr>
              <w:t>是</w:t>
            </w:r>
          </w:p>
          <w:p w14:paraId="5AEFE24F">
            <w:pPr>
              <w:widowControl/>
              <w:spacing w:line="360" w:lineRule="exact"/>
              <w:rPr>
                <w:szCs w:val="20"/>
              </w:rPr>
            </w:pPr>
            <w:r>
              <w:rPr>
                <w:szCs w:val="20"/>
              </w:rPr>
              <w:sym w:font="Wingdings 2" w:char="0052"/>
            </w:r>
            <w:r>
              <w:rPr>
                <w:rFonts w:hint="eastAsia"/>
                <w:szCs w:val="20"/>
              </w:rPr>
              <w:t>否</w:t>
            </w:r>
          </w:p>
        </w:tc>
        <w:tc>
          <w:tcPr>
            <w:tcW w:w="725" w:type="dxa"/>
            <w:vMerge w:val="continue"/>
            <w:vAlign w:val="center"/>
          </w:tcPr>
          <w:p w14:paraId="6126D2CD">
            <w:pPr>
              <w:widowControl/>
              <w:spacing w:line="360" w:lineRule="exact"/>
              <w:rPr>
                <w:szCs w:val="20"/>
              </w:rPr>
            </w:pPr>
          </w:p>
        </w:tc>
        <w:tc>
          <w:tcPr>
            <w:tcW w:w="4131" w:type="dxa"/>
            <w:gridSpan w:val="4"/>
            <w:vMerge w:val="continue"/>
            <w:vAlign w:val="center"/>
          </w:tcPr>
          <w:p w14:paraId="39D6BDA8">
            <w:pPr>
              <w:widowControl/>
              <w:spacing w:line="360" w:lineRule="exact"/>
              <w:rPr>
                <w:szCs w:val="20"/>
              </w:rPr>
            </w:pPr>
          </w:p>
        </w:tc>
      </w:tr>
      <w:tr w14:paraId="7C42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830" w:type="dxa"/>
            <w:vMerge w:val="restart"/>
            <w:vAlign w:val="center"/>
          </w:tcPr>
          <w:p w14:paraId="1B1D3ADE">
            <w:pPr>
              <w:widowControl/>
              <w:spacing w:line="360" w:lineRule="exact"/>
              <w:jc w:val="center"/>
              <w:rPr>
                <w:szCs w:val="20"/>
              </w:rPr>
            </w:pPr>
            <w:r>
              <w:rPr>
                <w:rFonts w:hint="eastAsia"/>
                <w:color w:val="000000" w:themeColor="text1"/>
                <w:szCs w:val="28"/>
                <w14:textFill>
                  <w14:solidFill>
                    <w14:schemeClr w14:val="tx1"/>
                  </w14:solidFill>
                </w14:textFill>
              </w:rPr>
              <w:t>入河排污口截面信息</w:t>
            </w:r>
          </w:p>
        </w:tc>
        <w:tc>
          <w:tcPr>
            <w:tcW w:w="6115" w:type="dxa"/>
            <w:gridSpan w:val="6"/>
            <w:vAlign w:val="center"/>
          </w:tcPr>
          <w:p w14:paraId="4BE77D0B">
            <w:pPr>
              <w:widowControl/>
              <w:spacing w:line="360" w:lineRule="exact"/>
              <w:rPr>
                <w:szCs w:val="20"/>
              </w:rPr>
            </w:pPr>
            <w:r>
              <w:rPr>
                <w:color w:val="000000" w:themeColor="text1"/>
                <w:szCs w:val="20"/>
                <w14:textFill>
                  <w14:solidFill>
                    <w14:schemeClr w14:val="tx1"/>
                  </w14:solidFill>
                </w14:textFill>
              </w:rPr>
              <w:sym w:font="Wingdings 2" w:char="0052"/>
            </w:r>
            <w:r>
              <w:rPr>
                <w:rFonts w:hint="eastAsia"/>
                <w:color w:val="000000" w:themeColor="text1"/>
                <w:szCs w:val="20"/>
                <w14:textFill>
                  <w14:solidFill>
                    <w14:schemeClr w14:val="tx1"/>
                  </w14:solidFill>
                </w14:textFill>
              </w:rPr>
              <w:t>圆形截面：</w:t>
            </w:r>
            <w:r>
              <w:rPr>
                <w:color w:val="000000" w:themeColor="text1"/>
                <w:szCs w:val="20"/>
                <w14:textFill>
                  <w14:solidFill>
                    <w14:schemeClr w14:val="tx1"/>
                  </w14:solidFill>
                </w14:textFill>
              </w:rPr>
              <w:t>d=</w:t>
            </w:r>
            <w:r>
              <w:rPr>
                <w:rFonts w:hint="eastAsia"/>
                <w:color w:val="000000" w:themeColor="text1"/>
                <w:szCs w:val="20"/>
                <w14:textFill>
                  <w14:solidFill>
                    <w14:schemeClr w14:val="tx1"/>
                  </w14:solidFill>
                </w14:textFill>
              </w:rPr>
              <w:t>1.0</w:t>
            </w:r>
            <w:r>
              <w:rPr>
                <w:color w:val="000000" w:themeColor="text1"/>
                <w:szCs w:val="20"/>
                <w14:textFill>
                  <w14:solidFill>
                    <w14:schemeClr w14:val="tx1"/>
                  </w14:solidFill>
                </w14:textFill>
              </w:rPr>
              <w:t>m</w:t>
            </w:r>
            <w:r>
              <w:rPr>
                <w:rFonts w:hint="eastAsia"/>
                <w:color w:val="000000" w:themeColor="text1"/>
                <w:szCs w:val="20"/>
                <w14:textFill>
                  <w14:solidFill>
                    <w14:schemeClr w14:val="tx1"/>
                  </w14:solidFill>
                </w14:textFill>
              </w:rPr>
              <w:t>，</w:t>
            </w:r>
            <w:r>
              <w:rPr>
                <w:color w:val="000000" w:themeColor="text1"/>
                <w:szCs w:val="20"/>
                <w14:textFill>
                  <w14:solidFill>
                    <w14:schemeClr w14:val="tx1"/>
                  </w14:solidFill>
                </w14:textFill>
              </w:rPr>
              <w:t>S=</w:t>
            </w:r>
            <w:r>
              <w:rPr>
                <w:rFonts w:hint="eastAsia"/>
                <w:color w:val="000000" w:themeColor="text1"/>
                <w:szCs w:val="20"/>
                <w14:textFill>
                  <w14:solidFill>
                    <w14:schemeClr w14:val="tx1"/>
                  </w14:solidFill>
                </w14:textFill>
              </w:rPr>
              <w:t>0.785</w:t>
            </w:r>
            <w:r>
              <w:rPr>
                <w:color w:val="000000" w:themeColor="text1"/>
                <w:szCs w:val="20"/>
                <w14:textFill>
                  <w14:solidFill>
                    <w14:schemeClr w14:val="tx1"/>
                  </w14:solidFill>
                </w14:textFill>
              </w:rPr>
              <w:t>m</w:t>
            </w:r>
            <w:r>
              <w:rPr>
                <w:color w:val="000000" w:themeColor="text1"/>
                <w:szCs w:val="20"/>
                <w:vertAlign w:val="superscript"/>
                <w14:textFill>
                  <w14:solidFill>
                    <w14:schemeClr w14:val="tx1"/>
                  </w14:solidFill>
                </w14:textFill>
              </w:rPr>
              <w:t>2</w:t>
            </w:r>
          </w:p>
        </w:tc>
      </w:tr>
      <w:tr w14:paraId="05FA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830" w:type="dxa"/>
            <w:vMerge w:val="continue"/>
            <w:vAlign w:val="center"/>
          </w:tcPr>
          <w:p w14:paraId="3367DF44">
            <w:pPr>
              <w:widowControl/>
              <w:spacing w:line="360" w:lineRule="exact"/>
              <w:rPr>
                <w:szCs w:val="28"/>
              </w:rPr>
            </w:pPr>
          </w:p>
        </w:tc>
        <w:tc>
          <w:tcPr>
            <w:tcW w:w="6115" w:type="dxa"/>
            <w:gridSpan w:val="6"/>
            <w:vAlign w:val="center"/>
          </w:tcPr>
          <w:p w14:paraId="2EB6109D">
            <w:pPr>
              <w:spacing w:line="360" w:lineRule="exact"/>
              <w:rPr>
                <w:szCs w:val="20"/>
              </w:rPr>
            </w:pPr>
            <w:r>
              <w:rPr>
                <w:color w:val="000000" w:themeColor="text1"/>
                <w:szCs w:val="20"/>
                <w14:textFill>
                  <w14:solidFill>
                    <w14:schemeClr w14:val="tx1"/>
                  </w14:solidFill>
                </w14:textFill>
              </w:rPr>
              <w:sym w:font="Wingdings 2" w:char="00A3"/>
            </w:r>
            <w:r>
              <w:rPr>
                <w:rFonts w:hint="eastAsia"/>
                <w:color w:val="000000" w:themeColor="text1"/>
                <w:szCs w:val="20"/>
                <w14:textFill>
                  <w14:solidFill>
                    <w14:schemeClr w14:val="tx1"/>
                  </w14:solidFill>
                </w14:textFill>
              </w:rPr>
              <w:t>方形截面：</w:t>
            </w:r>
            <w:r>
              <w:rPr>
                <w:color w:val="000000" w:themeColor="text1"/>
                <w:szCs w:val="20"/>
                <w14:textFill>
                  <w14:solidFill>
                    <w14:schemeClr w14:val="tx1"/>
                  </w14:solidFill>
                </w14:textFill>
              </w:rPr>
              <w:t>L×B=   m×  m</w:t>
            </w:r>
            <w:r>
              <w:rPr>
                <w:rFonts w:hint="eastAsia"/>
                <w:color w:val="000000" w:themeColor="text1"/>
                <w:szCs w:val="20"/>
                <w14:textFill>
                  <w14:solidFill>
                    <w14:schemeClr w14:val="tx1"/>
                  </w14:solidFill>
                </w14:textFill>
              </w:rPr>
              <w:t>，</w:t>
            </w:r>
            <w:r>
              <w:rPr>
                <w:color w:val="000000" w:themeColor="text1"/>
                <w:szCs w:val="20"/>
                <w14:textFill>
                  <w14:solidFill>
                    <w14:schemeClr w14:val="tx1"/>
                  </w14:solidFill>
                </w14:textFill>
              </w:rPr>
              <w:t>S=   m</w:t>
            </w:r>
            <w:r>
              <w:rPr>
                <w:color w:val="000000" w:themeColor="text1"/>
                <w:szCs w:val="20"/>
                <w:vertAlign w:val="superscript"/>
                <w14:textFill>
                  <w14:solidFill>
                    <w14:schemeClr w14:val="tx1"/>
                  </w14:solidFill>
                </w14:textFill>
              </w:rPr>
              <w:t>2</w:t>
            </w:r>
          </w:p>
        </w:tc>
      </w:tr>
      <w:tr w14:paraId="4A07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830" w:type="dxa"/>
            <w:vMerge w:val="continue"/>
            <w:vAlign w:val="center"/>
          </w:tcPr>
          <w:p w14:paraId="48596F4D">
            <w:pPr>
              <w:widowControl/>
              <w:spacing w:line="360" w:lineRule="exact"/>
              <w:rPr>
                <w:szCs w:val="28"/>
              </w:rPr>
            </w:pPr>
          </w:p>
        </w:tc>
        <w:tc>
          <w:tcPr>
            <w:tcW w:w="6115" w:type="dxa"/>
            <w:gridSpan w:val="6"/>
            <w:vAlign w:val="center"/>
          </w:tcPr>
          <w:p w14:paraId="2AEE2938">
            <w:pPr>
              <w:spacing w:line="360" w:lineRule="exact"/>
              <w:rPr>
                <w:szCs w:val="20"/>
              </w:rPr>
            </w:pPr>
            <w:r>
              <w:rPr>
                <w:color w:val="000000" w:themeColor="text1"/>
                <w:szCs w:val="20"/>
                <w14:textFill>
                  <w14:solidFill>
                    <w14:schemeClr w14:val="tx1"/>
                  </w14:solidFill>
                </w14:textFill>
              </w:rPr>
              <w:sym w:font="Wingdings 2" w:char="00A3"/>
            </w:r>
            <w:r>
              <w:rPr>
                <w:rFonts w:hint="eastAsia"/>
                <w:color w:val="000000" w:themeColor="text1"/>
                <w:szCs w:val="20"/>
                <w14:textFill>
                  <w14:solidFill>
                    <w14:schemeClr w14:val="tx1"/>
                  </w14:solidFill>
                </w14:textFill>
              </w:rPr>
              <w:t>其他形状截面：</w:t>
            </w:r>
            <w:r>
              <w:rPr>
                <w:color w:val="000000" w:themeColor="text1"/>
                <w:szCs w:val="20"/>
                <w14:textFill>
                  <w14:solidFill>
                    <w14:schemeClr w14:val="tx1"/>
                  </w14:solidFill>
                </w14:textFill>
              </w:rPr>
              <w:t>S=    m</w:t>
            </w:r>
            <w:r>
              <w:rPr>
                <w:color w:val="000000" w:themeColor="text1"/>
                <w:szCs w:val="20"/>
                <w:vertAlign w:val="superscript"/>
                <w14:textFill>
                  <w14:solidFill>
                    <w14:schemeClr w14:val="tx1"/>
                  </w14:solidFill>
                </w14:textFill>
              </w:rPr>
              <w:t>2</w:t>
            </w:r>
          </w:p>
        </w:tc>
      </w:tr>
      <w:tr w14:paraId="35FD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vAlign w:val="center"/>
          </w:tcPr>
          <w:p w14:paraId="006198D3">
            <w:pPr>
              <w:widowControl/>
              <w:spacing w:line="360" w:lineRule="exact"/>
              <w:rPr>
                <w:szCs w:val="20"/>
              </w:rPr>
            </w:pPr>
            <w:r>
              <w:rPr>
                <w:rFonts w:hint="eastAsia"/>
                <w:szCs w:val="21"/>
              </w:rPr>
              <w:t>入河排污口污水排放量，入河排污口重点污染物排放种类、排放浓度和排放量</w:t>
            </w:r>
          </w:p>
        </w:tc>
      </w:tr>
      <w:tr w14:paraId="0812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830" w:type="dxa"/>
            <w:vMerge w:val="restart"/>
            <w:vAlign w:val="center"/>
          </w:tcPr>
          <w:p w14:paraId="0A4567DA">
            <w:pPr>
              <w:widowControl/>
              <w:spacing w:line="360" w:lineRule="exact"/>
              <w:jc w:val="center"/>
              <w:rPr>
                <w:szCs w:val="20"/>
              </w:rPr>
            </w:pPr>
            <w:r>
              <w:rPr>
                <w:rFonts w:hint="eastAsia"/>
                <w:szCs w:val="20"/>
              </w:rPr>
              <w:t>污染物种类</w:t>
            </w:r>
          </w:p>
        </w:tc>
        <w:tc>
          <w:tcPr>
            <w:tcW w:w="1259" w:type="dxa"/>
            <w:vMerge w:val="restart"/>
            <w:vAlign w:val="center"/>
          </w:tcPr>
          <w:p w14:paraId="59FF2139">
            <w:pPr>
              <w:widowControl/>
              <w:spacing w:line="360" w:lineRule="exact"/>
              <w:jc w:val="center"/>
              <w:rPr>
                <w:szCs w:val="20"/>
              </w:rPr>
            </w:pPr>
            <w:r>
              <w:rPr>
                <w:rFonts w:hint="eastAsia"/>
                <w:szCs w:val="20"/>
              </w:rPr>
              <w:t>排放浓度（</w:t>
            </w:r>
            <w:r>
              <w:rPr>
                <w:szCs w:val="20"/>
              </w:rPr>
              <w:t>mg/L</w:t>
            </w:r>
            <w:r>
              <w:rPr>
                <w:rFonts w:hint="eastAsia"/>
                <w:szCs w:val="20"/>
              </w:rPr>
              <w:t>）</w:t>
            </w:r>
          </w:p>
        </w:tc>
        <w:tc>
          <w:tcPr>
            <w:tcW w:w="2472" w:type="dxa"/>
            <w:gridSpan w:val="3"/>
            <w:vAlign w:val="center"/>
          </w:tcPr>
          <w:p w14:paraId="5079A384">
            <w:pPr>
              <w:widowControl/>
              <w:spacing w:line="360" w:lineRule="exact"/>
              <w:jc w:val="center"/>
              <w:rPr>
                <w:szCs w:val="20"/>
              </w:rPr>
            </w:pPr>
            <w:r>
              <w:rPr>
                <w:rFonts w:hint="eastAsia"/>
                <w:szCs w:val="20"/>
              </w:rPr>
              <w:t>全年</w:t>
            </w:r>
          </w:p>
        </w:tc>
        <w:tc>
          <w:tcPr>
            <w:tcW w:w="2384" w:type="dxa"/>
            <w:gridSpan w:val="2"/>
            <w:vAlign w:val="center"/>
          </w:tcPr>
          <w:p w14:paraId="595C28E7">
            <w:pPr>
              <w:widowControl/>
              <w:spacing w:line="360" w:lineRule="exact"/>
              <w:jc w:val="center"/>
              <w:rPr>
                <w:szCs w:val="20"/>
              </w:rPr>
            </w:pPr>
            <w:r>
              <w:rPr>
                <w:rFonts w:hint="eastAsia"/>
                <w:szCs w:val="20"/>
              </w:rPr>
              <w:t>特殊时段（12月至4月）</w:t>
            </w:r>
          </w:p>
        </w:tc>
      </w:tr>
      <w:tr w14:paraId="0263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0" w:type="dxa"/>
            <w:vMerge w:val="continue"/>
            <w:vAlign w:val="center"/>
          </w:tcPr>
          <w:p w14:paraId="09994969">
            <w:pPr>
              <w:spacing w:line="360" w:lineRule="exact"/>
              <w:rPr>
                <w:szCs w:val="20"/>
              </w:rPr>
            </w:pPr>
          </w:p>
        </w:tc>
        <w:tc>
          <w:tcPr>
            <w:tcW w:w="1259" w:type="dxa"/>
            <w:vMerge w:val="continue"/>
            <w:vAlign w:val="center"/>
          </w:tcPr>
          <w:p w14:paraId="30C1F5B3">
            <w:pPr>
              <w:widowControl/>
              <w:spacing w:line="360" w:lineRule="exact"/>
              <w:jc w:val="center"/>
              <w:rPr>
                <w:szCs w:val="20"/>
              </w:rPr>
            </w:pPr>
          </w:p>
        </w:tc>
        <w:tc>
          <w:tcPr>
            <w:tcW w:w="1151" w:type="dxa"/>
            <w:gridSpan w:val="2"/>
            <w:vAlign w:val="center"/>
          </w:tcPr>
          <w:p w14:paraId="027DFCAE">
            <w:pPr>
              <w:widowControl/>
              <w:spacing w:line="360" w:lineRule="exact"/>
              <w:jc w:val="center"/>
              <w:rPr>
                <w:szCs w:val="20"/>
              </w:rPr>
            </w:pPr>
            <w:r>
              <w:rPr>
                <w:rFonts w:hint="eastAsia"/>
                <w:szCs w:val="20"/>
              </w:rPr>
              <w:t>污水排放量（万</w:t>
            </w:r>
            <w:r>
              <w:rPr>
                <w:szCs w:val="20"/>
              </w:rPr>
              <w:t>t/</w:t>
            </w:r>
            <w:r>
              <w:rPr>
                <w:rFonts w:hint="eastAsia"/>
                <w:szCs w:val="20"/>
              </w:rPr>
              <w:t>a）</w:t>
            </w:r>
          </w:p>
        </w:tc>
        <w:tc>
          <w:tcPr>
            <w:tcW w:w="1321" w:type="dxa"/>
            <w:vAlign w:val="center"/>
          </w:tcPr>
          <w:p w14:paraId="5F2BFDAC">
            <w:pPr>
              <w:widowControl/>
              <w:spacing w:line="360" w:lineRule="exact"/>
              <w:jc w:val="center"/>
              <w:rPr>
                <w:szCs w:val="20"/>
              </w:rPr>
            </w:pPr>
            <w:r>
              <w:rPr>
                <w:rFonts w:hint="eastAsia"/>
                <w:szCs w:val="24"/>
              </w:rPr>
              <w:t>污染物排放量</w:t>
            </w:r>
            <w:r>
              <w:rPr>
                <w:rFonts w:hint="eastAsia"/>
                <w:szCs w:val="20"/>
              </w:rPr>
              <w:t>（</w:t>
            </w:r>
            <w:r>
              <w:rPr>
                <w:szCs w:val="20"/>
              </w:rPr>
              <w:t>t/</w:t>
            </w:r>
            <w:r>
              <w:rPr>
                <w:rFonts w:hint="eastAsia"/>
                <w:szCs w:val="20"/>
              </w:rPr>
              <w:t>a）</w:t>
            </w:r>
          </w:p>
        </w:tc>
        <w:tc>
          <w:tcPr>
            <w:tcW w:w="1231" w:type="dxa"/>
            <w:vAlign w:val="center"/>
          </w:tcPr>
          <w:p w14:paraId="0D0955C2">
            <w:pPr>
              <w:widowControl/>
              <w:spacing w:line="360" w:lineRule="exact"/>
              <w:jc w:val="center"/>
              <w:rPr>
                <w:szCs w:val="20"/>
              </w:rPr>
            </w:pPr>
            <w:r>
              <w:rPr>
                <w:rFonts w:hint="eastAsia"/>
                <w:szCs w:val="20"/>
              </w:rPr>
              <w:t>污水日排放量（</w:t>
            </w:r>
            <w:r>
              <w:rPr>
                <w:szCs w:val="20"/>
              </w:rPr>
              <w:t>t/</w:t>
            </w:r>
            <w:r>
              <w:rPr>
                <w:rFonts w:hint="eastAsia"/>
                <w:szCs w:val="20"/>
              </w:rPr>
              <w:t>d）</w:t>
            </w:r>
          </w:p>
        </w:tc>
        <w:tc>
          <w:tcPr>
            <w:tcW w:w="1153" w:type="dxa"/>
            <w:vAlign w:val="center"/>
          </w:tcPr>
          <w:p w14:paraId="7A8509A7">
            <w:pPr>
              <w:spacing w:line="360" w:lineRule="exact"/>
              <w:jc w:val="center"/>
              <w:rPr>
                <w:szCs w:val="20"/>
              </w:rPr>
            </w:pPr>
            <w:r>
              <w:rPr>
                <w:rFonts w:hint="eastAsia"/>
                <w:szCs w:val="24"/>
              </w:rPr>
              <w:t>污染物日排放量</w:t>
            </w:r>
            <w:r>
              <w:rPr>
                <w:rFonts w:hint="eastAsia"/>
                <w:szCs w:val="20"/>
              </w:rPr>
              <w:t>（</w:t>
            </w:r>
            <w:r>
              <w:rPr>
                <w:szCs w:val="20"/>
              </w:rPr>
              <w:t>t/</w:t>
            </w:r>
            <w:r>
              <w:rPr>
                <w:rFonts w:hint="eastAsia"/>
                <w:szCs w:val="20"/>
              </w:rPr>
              <w:t>d）</w:t>
            </w:r>
          </w:p>
        </w:tc>
      </w:tr>
      <w:tr w14:paraId="04A9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vAlign w:val="center"/>
          </w:tcPr>
          <w:p w14:paraId="7EE47180">
            <w:pPr>
              <w:widowControl/>
              <w:spacing w:line="360" w:lineRule="exact"/>
              <w:rPr>
                <w:szCs w:val="20"/>
              </w:rPr>
            </w:pPr>
            <w:r>
              <w:rPr>
                <w:rFonts w:hint="eastAsia"/>
                <w:szCs w:val="20"/>
              </w:rPr>
              <w:t>入河排污口合计</w:t>
            </w:r>
          </w:p>
        </w:tc>
      </w:tr>
      <w:tr w14:paraId="3C87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vAlign w:val="center"/>
          </w:tcPr>
          <w:p w14:paraId="10EFADD3">
            <w:pPr>
              <w:widowControl/>
              <w:spacing w:line="360" w:lineRule="exact"/>
              <w:jc w:val="center"/>
              <w:rPr>
                <w:rFonts w:hint="default" w:eastAsia="宋体"/>
                <w:color w:val="000000" w:themeColor="text1"/>
                <w:szCs w:val="20"/>
                <w:lang w:val="en-US" w:eastAsia="zh-CN"/>
                <w14:textFill>
                  <w14:solidFill>
                    <w14:schemeClr w14:val="tx1"/>
                  </w14:solidFill>
                </w14:textFill>
              </w:rPr>
            </w:pPr>
            <w:r>
              <w:rPr>
                <w:rFonts w:hint="eastAsia"/>
                <w:color w:val="000000" w:themeColor="text1"/>
                <w:szCs w:val="20"/>
                <w:lang w:val="en-US" w:eastAsia="zh-CN"/>
                <w14:textFill>
                  <w14:solidFill>
                    <w14:schemeClr w14:val="tx1"/>
                  </w14:solidFill>
                </w14:textFill>
              </w:rPr>
              <w:t>化学需氧量</w:t>
            </w:r>
          </w:p>
        </w:tc>
        <w:tc>
          <w:tcPr>
            <w:tcW w:w="1259" w:type="dxa"/>
            <w:vAlign w:val="center"/>
          </w:tcPr>
          <w:p w14:paraId="0A5E802B">
            <w:pPr>
              <w:widowControl/>
              <w:spacing w:line="360" w:lineRule="exact"/>
              <w:jc w:val="center"/>
              <w:rPr>
                <w:rFonts w:eastAsiaTheme="minorEastAsia"/>
                <w:color w:val="000000" w:themeColor="text1"/>
                <w:szCs w:val="20"/>
                <w14:textFill>
                  <w14:solidFill>
                    <w14:schemeClr w14:val="tx1"/>
                  </w14:solidFill>
                </w14:textFill>
              </w:rPr>
            </w:pPr>
            <w:r>
              <w:rPr>
                <w:rFonts w:hint="eastAsia"/>
                <w:color w:val="000000" w:themeColor="text1"/>
                <w:szCs w:val="20"/>
                <w14:textFill>
                  <w14:solidFill>
                    <w14:schemeClr w14:val="tx1"/>
                  </w14:solidFill>
                </w14:textFill>
              </w:rPr>
              <w:t>50</w:t>
            </w:r>
          </w:p>
        </w:tc>
        <w:tc>
          <w:tcPr>
            <w:tcW w:w="1151" w:type="dxa"/>
            <w:gridSpan w:val="2"/>
            <w:vMerge w:val="restart"/>
            <w:vAlign w:val="center"/>
          </w:tcPr>
          <w:p w14:paraId="5DE125FA">
            <w:pPr>
              <w:widowControl/>
              <w:spacing w:line="360" w:lineRule="exact"/>
              <w:jc w:val="center"/>
              <w:rPr>
                <w:rFonts w:hint="eastAsia"/>
                <w:szCs w:val="20"/>
              </w:rPr>
            </w:pPr>
            <w:r>
              <w:rPr>
                <w:rFonts w:hint="eastAsia"/>
                <w:color w:val="000000" w:themeColor="text1"/>
                <w:szCs w:val="24"/>
                <w14:textFill>
                  <w14:solidFill>
                    <w14:schemeClr w14:val="tx1"/>
                  </w14:solidFill>
                </w14:textFill>
              </w:rPr>
              <w:t>46.501</w:t>
            </w:r>
          </w:p>
        </w:tc>
        <w:tc>
          <w:tcPr>
            <w:tcW w:w="1321" w:type="dxa"/>
            <w:vAlign w:val="center"/>
          </w:tcPr>
          <w:p w14:paraId="33BE7B36">
            <w:pPr>
              <w:widowControl/>
              <w:spacing w:line="360" w:lineRule="exact"/>
              <w:jc w:val="center"/>
              <w:rPr>
                <w:rFonts w:hint="eastAsia" w:eastAsiaTheme="minorEastAsia"/>
                <w:color w:val="auto"/>
                <w:szCs w:val="20"/>
              </w:rPr>
            </w:pPr>
            <w:r>
              <w:rPr>
                <w:rFonts w:hint="eastAsia" w:eastAsiaTheme="minorEastAsia"/>
                <w:color w:val="auto"/>
                <w:szCs w:val="20"/>
              </w:rPr>
              <w:t>54.75</w:t>
            </w:r>
          </w:p>
        </w:tc>
        <w:tc>
          <w:tcPr>
            <w:tcW w:w="1231" w:type="dxa"/>
            <w:vMerge w:val="restart"/>
            <w:vAlign w:val="center"/>
          </w:tcPr>
          <w:p w14:paraId="7922E122">
            <w:pPr>
              <w:widowControl/>
              <w:spacing w:line="360" w:lineRule="exact"/>
              <w:jc w:val="center"/>
              <w:rPr>
                <w:rFonts w:hint="eastAsia"/>
                <w:szCs w:val="20"/>
              </w:rPr>
            </w:pPr>
            <w:r>
              <w:rPr>
                <w:rFonts w:hint="eastAsia" w:eastAsiaTheme="minorEastAsia"/>
                <w:color w:val="000000" w:themeColor="text1"/>
                <w:szCs w:val="20"/>
                <w14:textFill>
                  <w14:solidFill>
                    <w14:schemeClr w14:val="tx1"/>
                  </w14:solidFill>
                </w14:textFill>
              </w:rPr>
              <w:t>1274</w:t>
            </w:r>
          </w:p>
        </w:tc>
        <w:tc>
          <w:tcPr>
            <w:tcW w:w="1153" w:type="dxa"/>
            <w:vAlign w:val="center"/>
          </w:tcPr>
          <w:p w14:paraId="039447A5">
            <w:pPr>
              <w:widowControl/>
              <w:spacing w:line="360" w:lineRule="exact"/>
              <w:jc w:val="center"/>
              <w:rPr>
                <w:rFonts w:hint="default" w:eastAsiaTheme="minorEastAsia"/>
                <w:color w:val="auto"/>
                <w:szCs w:val="20"/>
                <w:lang w:val="en-US" w:eastAsia="zh-CN"/>
              </w:rPr>
            </w:pPr>
            <w:r>
              <w:rPr>
                <w:rFonts w:hint="eastAsia" w:eastAsiaTheme="minorEastAsia"/>
                <w:color w:val="auto"/>
                <w:szCs w:val="20"/>
                <w:lang w:val="en-US" w:eastAsia="zh-CN"/>
              </w:rPr>
              <w:t>0.15</w:t>
            </w:r>
          </w:p>
        </w:tc>
      </w:tr>
      <w:tr w14:paraId="6B39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vAlign w:val="center"/>
          </w:tcPr>
          <w:p w14:paraId="6D9D0B1B">
            <w:pPr>
              <w:widowControl/>
              <w:spacing w:line="360" w:lineRule="exact"/>
              <w:jc w:val="center"/>
              <w:rPr>
                <w:rFonts w:hint="eastAsia" w:eastAsia="宋体"/>
                <w:color w:val="000000" w:themeColor="text1"/>
                <w:szCs w:val="20"/>
                <w:lang w:eastAsia="zh-CN"/>
                <w14:textFill>
                  <w14:solidFill>
                    <w14:schemeClr w14:val="tx1"/>
                  </w14:solidFill>
                </w14:textFill>
              </w:rPr>
            </w:pPr>
            <w:r>
              <w:rPr>
                <w:rFonts w:hint="eastAsia"/>
                <w:color w:val="000000" w:themeColor="text1"/>
                <w:szCs w:val="20"/>
                <w:lang w:val="en-US" w:eastAsia="zh-CN"/>
                <w14:textFill>
                  <w14:solidFill>
                    <w14:schemeClr w14:val="tx1"/>
                  </w14:solidFill>
                </w14:textFill>
              </w:rPr>
              <w:t>氨氮</w:t>
            </w:r>
          </w:p>
        </w:tc>
        <w:tc>
          <w:tcPr>
            <w:tcW w:w="1259" w:type="dxa"/>
            <w:vAlign w:val="center"/>
          </w:tcPr>
          <w:p w14:paraId="561D07E3">
            <w:pPr>
              <w:widowControl/>
              <w:spacing w:line="360" w:lineRule="exact"/>
              <w:jc w:val="center"/>
              <w:rPr>
                <w:rFonts w:hint="default" w:eastAsia="宋体"/>
                <w:color w:val="000000" w:themeColor="text1"/>
                <w:szCs w:val="20"/>
                <w:lang w:val="en-US" w:eastAsia="zh-CN"/>
                <w14:textFill>
                  <w14:solidFill>
                    <w14:schemeClr w14:val="tx1"/>
                  </w14:solidFill>
                </w14:textFill>
              </w:rPr>
            </w:pPr>
            <w:r>
              <w:rPr>
                <w:rFonts w:hint="eastAsia"/>
                <w:color w:val="000000" w:themeColor="text1"/>
                <w:szCs w:val="20"/>
                <w14:textFill>
                  <w14:solidFill>
                    <w14:schemeClr w14:val="tx1"/>
                  </w14:solidFill>
                </w14:textFill>
              </w:rPr>
              <w:t>5</w:t>
            </w:r>
            <w:r>
              <w:rPr>
                <w:rFonts w:hint="eastAsia"/>
                <w:color w:val="000000" w:themeColor="text1"/>
                <w:szCs w:val="20"/>
                <w:lang w:eastAsia="zh-CN"/>
                <w14:textFill>
                  <w14:solidFill>
                    <w14:schemeClr w14:val="tx1"/>
                  </w14:solidFill>
                </w14:textFill>
              </w:rPr>
              <w:t>（</w:t>
            </w:r>
            <w:r>
              <w:rPr>
                <w:rFonts w:hint="eastAsia"/>
                <w:color w:val="000000" w:themeColor="text1"/>
                <w:szCs w:val="20"/>
                <w:lang w:val="en-US" w:eastAsia="zh-CN"/>
                <w14:textFill>
                  <w14:solidFill>
                    <w14:schemeClr w14:val="tx1"/>
                  </w14:solidFill>
                </w14:textFill>
              </w:rPr>
              <w:t>8）</w:t>
            </w:r>
          </w:p>
        </w:tc>
        <w:tc>
          <w:tcPr>
            <w:tcW w:w="1151" w:type="dxa"/>
            <w:gridSpan w:val="2"/>
            <w:vMerge w:val="continue"/>
            <w:vAlign w:val="center"/>
          </w:tcPr>
          <w:p w14:paraId="2EB42292">
            <w:pPr>
              <w:widowControl/>
              <w:jc w:val="center"/>
              <w:rPr>
                <w:szCs w:val="20"/>
              </w:rPr>
            </w:pPr>
          </w:p>
        </w:tc>
        <w:tc>
          <w:tcPr>
            <w:tcW w:w="1321" w:type="dxa"/>
            <w:vAlign w:val="center"/>
          </w:tcPr>
          <w:p w14:paraId="2988FC47">
            <w:pPr>
              <w:widowControl/>
              <w:spacing w:line="360" w:lineRule="exact"/>
              <w:jc w:val="center"/>
              <w:rPr>
                <w:rFonts w:hint="eastAsia" w:eastAsiaTheme="minorEastAsia"/>
                <w:color w:val="auto"/>
                <w:szCs w:val="20"/>
              </w:rPr>
            </w:pPr>
            <w:r>
              <w:rPr>
                <w:rFonts w:hint="eastAsia" w:eastAsiaTheme="minorEastAsia"/>
                <w:color w:val="auto"/>
                <w:szCs w:val="20"/>
              </w:rPr>
              <w:t>5.475</w:t>
            </w:r>
          </w:p>
        </w:tc>
        <w:tc>
          <w:tcPr>
            <w:tcW w:w="1231" w:type="dxa"/>
            <w:vMerge w:val="continue"/>
            <w:vAlign w:val="center"/>
          </w:tcPr>
          <w:p w14:paraId="000AC0D5">
            <w:pPr>
              <w:widowControl/>
              <w:spacing w:line="360" w:lineRule="exact"/>
              <w:ind w:firstLine="105" w:firstLineChars="50"/>
              <w:jc w:val="center"/>
              <w:rPr>
                <w:szCs w:val="20"/>
              </w:rPr>
            </w:pPr>
          </w:p>
        </w:tc>
        <w:tc>
          <w:tcPr>
            <w:tcW w:w="1153" w:type="dxa"/>
            <w:vAlign w:val="center"/>
          </w:tcPr>
          <w:p w14:paraId="5B7DFCAA">
            <w:pPr>
              <w:widowControl/>
              <w:spacing w:line="360" w:lineRule="exact"/>
              <w:jc w:val="center"/>
              <w:rPr>
                <w:rFonts w:eastAsiaTheme="minorEastAsia"/>
                <w:color w:val="auto"/>
                <w:szCs w:val="20"/>
              </w:rPr>
            </w:pPr>
            <w:r>
              <w:rPr>
                <w:rFonts w:hint="eastAsia" w:eastAsiaTheme="minorEastAsia"/>
                <w:color w:val="auto"/>
                <w:szCs w:val="20"/>
                <w:lang w:val="en-US" w:eastAsia="zh-CN"/>
              </w:rPr>
              <w:t>0.015</w:t>
            </w:r>
          </w:p>
        </w:tc>
      </w:tr>
      <w:tr w14:paraId="3F86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vAlign w:val="center"/>
          </w:tcPr>
          <w:p w14:paraId="5AE38855">
            <w:pPr>
              <w:widowControl/>
              <w:spacing w:line="360" w:lineRule="exact"/>
              <w:rPr>
                <w:color w:val="auto"/>
                <w:szCs w:val="20"/>
                <w:highlight w:val="yellow"/>
              </w:rPr>
            </w:pPr>
            <w:r>
              <w:rPr>
                <w:rFonts w:hint="eastAsia"/>
                <w:color w:val="auto"/>
                <w:kern w:val="0"/>
                <w:szCs w:val="21"/>
              </w:rPr>
              <w:t>责任主体1：昌图县住房和城乡建设局</w:t>
            </w:r>
          </w:p>
        </w:tc>
      </w:tr>
      <w:tr w14:paraId="25AB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vAlign w:val="center"/>
          </w:tcPr>
          <w:p w14:paraId="2155A464">
            <w:pPr>
              <w:widowControl/>
              <w:spacing w:line="360" w:lineRule="exact"/>
              <w:jc w:val="center"/>
              <w:rPr>
                <w:rFonts w:hint="default" w:eastAsia="宋体"/>
                <w:color w:val="000000" w:themeColor="text1"/>
                <w:szCs w:val="20"/>
                <w:lang w:val="en-US" w:eastAsia="zh-CN"/>
                <w14:textFill>
                  <w14:solidFill>
                    <w14:schemeClr w14:val="tx1"/>
                  </w14:solidFill>
                </w14:textFill>
              </w:rPr>
            </w:pPr>
            <w:r>
              <w:rPr>
                <w:rFonts w:hint="eastAsia"/>
                <w:color w:val="000000" w:themeColor="text1"/>
                <w:szCs w:val="20"/>
                <w:lang w:val="en-US" w:eastAsia="zh-CN"/>
                <w14:textFill>
                  <w14:solidFill>
                    <w14:schemeClr w14:val="tx1"/>
                  </w14:solidFill>
                </w14:textFill>
              </w:rPr>
              <w:t>化学需氧量</w:t>
            </w:r>
          </w:p>
        </w:tc>
        <w:tc>
          <w:tcPr>
            <w:tcW w:w="1259" w:type="dxa"/>
            <w:vAlign w:val="center"/>
          </w:tcPr>
          <w:p w14:paraId="1396BF3A">
            <w:pPr>
              <w:widowControl/>
              <w:spacing w:line="360" w:lineRule="exact"/>
              <w:jc w:val="center"/>
              <w:rPr>
                <w:rFonts w:eastAsiaTheme="minorEastAsia"/>
                <w:color w:val="000000" w:themeColor="text1"/>
                <w:szCs w:val="20"/>
                <w14:textFill>
                  <w14:solidFill>
                    <w14:schemeClr w14:val="tx1"/>
                  </w14:solidFill>
                </w14:textFill>
              </w:rPr>
            </w:pPr>
            <w:r>
              <w:rPr>
                <w:rFonts w:hint="eastAsia"/>
                <w:color w:val="000000" w:themeColor="text1"/>
                <w:szCs w:val="20"/>
                <w14:textFill>
                  <w14:solidFill>
                    <w14:schemeClr w14:val="tx1"/>
                  </w14:solidFill>
                </w14:textFill>
              </w:rPr>
              <w:t>50</w:t>
            </w:r>
          </w:p>
        </w:tc>
        <w:tc>
          <w:tcPr>
            <w:tcW w:w="1151" w:type="dxa"/>
            <w:gridSpan w:val="2"/>
            <w:vMerge w:val="restart"/>
            <w:vAlign w:val="center"/>
          </w:tcPr>
          <w:p w14:paraId="2E15C171">
            <w:pPr>
              <w:widowControl/>
              <w:spacing w:line="360" w:lineRule="exact"/>
              <w:jc w:val="center"/>
              <w:rPr>
                <w:szCs w:val="20"/>
                <w:highlight w:val="yellow"/>
              </w:rPr>
            </w:pPr>
            <w:r>
              <w:rPr>
                <w:rFonts w:hint="eastAsia"/>
                <w:color w:val="000000" w:themeColor="text1"/>
                <w:szCs w:val="24"/>
                <w14:textFill>
                  <w14:solidFill>
                    <w14:schemeClr w14:val="tx1"/>
                  </w14:solidFill>
                </w14:textFill>
              </w:rPr>
              <w:t>46.501</w:t>
            </w:r>
          </w:p>
        </w:tc>
        <w:tc>
          <w:tcPr>
            <w:tcW w:w="1321" w:type="dxa"/>
            <w:vAlign w:val="center"/>
          </w:tcPr>
          <w:p w14:paraId="1DB39C4C">
            <w:pPr>
              <w:widowControl/>
              <w:spacing w:line="360" w:lineRule="exact"/>
              <w:jc w:val="center"/>
              <w:rPr>
                <w:rFonts w:eastAsiaTheme="minorEastAsia"/>
                <w:color w:val="auto"/>
                <w:szCs w:val="20"/>
              </w:rPr>
            </w:pPr>
            <w:r>
              <w:rPr>
                <w:rFonts w:hint="eastAsia" w:eastAsiaTheme="minorEastAsia"/>
                <w:color w:val="auto"/>
                <w:szCs w:val="20"/>
              </w:rPr>
              <w:t>54.75</w:t>
            </w:r>
          </w:p>
        </w:tc>
        <w:tc>
          <w:tcPr>
            <w:tcW w:w="1231" w:type="dxa"/>
            <w:vMerge w:val="restart"/>
            <w:vAlign w:val="center"/>
          </w:tcPr>
          <w:p w14:paraId="51A521C6">
            <w:pPr>
              <w:widowControl/>
              <w:spacing w:line="360" w:lineRule="exact"/>
              <w:jc w:val="center"/>
              <w:rPr>
                <w:szCs w:val="20"/>
                <w:highlight w:val="yellow"/>
              </w:rPr>
            </w:pPr>
            <w:r>
              <w:rPr>
                <w:rFonts w:hint="eastAsia" w:eastAsiaTheme="minorEastAsia"/>
                <w:color w:val="000000" w:themeColor="text1"/>
                <w:szCs w:val="20"/>
                <w14:textFill>
                  <w14:solidFill>
                    <w14:schemeClr w14:val="tx1"/>
                  </w14:solidFill>
                </w14:textFill>
              </w:rPr>
              <w:t>1274</w:t>
            </w:r>
          </w:p>
        </w:tc>
        <w:tc>
          <w:tcPr>
            <w:tcW w:w="1153" w:type="dxa"/>
            <w:shd w:val="clear" w:color="auto" w:fill="auto"/>
            <w:vAlign w:val="center"/>
          </w:tcPr>
          <w:p w14:paraId="7D56E36C">
            <w:pPr>
              <w:widowControl/>
              <w:spacing w:line="360" w:lineRule="exact"/>
              <w:jc w:val="center"/>
              <w:rPr>
                <w:rFonts w:hint="default" w:ascii="Times New Roman" w:hAnsi="Times New Roman" w:cs="Times New Roman" w:eastAsiaTheme="minorEastAsia"/>
                <w:color w:val="auto"/>
                <w:kern w:val="2"/>
                <w:sz w:val="21"/>
                <w:szCs w:val="20"/>
                <w:lang w:val="en-US" w:eastAsia="zh-CN" w:bidi="ar-SA"/>
              </w:rPr>
            </w:pPr>
            <w:r>
              <w:rPr>
                <w:rFonts w:hint="eastAsia" w:eastAsiaTheme="minorEastAsia"/>
                <w:color w:val="auto"/>
                <w:szCs w:val="20"/>
                <w:lang w:val="en-US" w:eastAsia="zh-CN"/>
              </w:rPr>
              <w:t>0.15</w:t>
            </w:r>
          </w:p>
        </w:tc>
      </w:tr>
      <w:tr w14:paraId="13D3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vAlign w:val="center"/>
          </w:tcPr>
          <w:p w14:paraId="51CA7F9C">
            <w:pPr>
              <w:widowControl/>
              <w:spacing w:line="360" w:lineRule="exact"/>
              <w:jc w:val="center"/>
              <w:rPr>
                <w:rFonts w:hint="eastAsia" w:eastAsia="宋体"/>
                <w:color w:val="000000" w:themeColor="text1"/>
                <w:szCs w:val="20"/>
                <w:lang w:eastAsia="zh-CN"/>
                <w14:textFill>
                  <w14:solidFill>
                    <w14:schemeClr w14:val="tx1"/>
                  </w14:solidFill>
                </w14:textFill>
              </w:rPr>
            </w:pPr>
            <w:r>
              <w:rPr>
                <w:rFonts w:hint="eastAsia"/>
                <w:color w:val="000000" w:themeColor="text1"/>
                <w:szCs w:val="20"/>
                <w:lang w:val="en-US" w:eastAsia="zh-CN"/>
                <w14:textFill>
                  <w14:solidFill>
                    <w14:schemeClr w14:val="tx1"/>
                  </w14:solidFill>
                </w14:textFill>
              </w:rPr>
              <w:t>氨氮</w:t>
            </w:r>
          </w:p>
        </w:tc>
        <w:tc>
          <w:tcPr>
            <w:tcW w:w="1259" w:type="dxa"/>
            <w:vAlign w:val="center"/>
          </w:tcPr>
          <w:p w14:paraId="6087FF6C">
            <w:pPr>
              <w:widowControl/>
              <w:spacing w:line="360" w:lineRule="exact"/>
              <w:jc w:val="center"/>
              <w:rPr>
                <w:rFonts w:hint="default" w:eastAsia="宋体"/>
                <w:color w:val="000000" w:themeColor="text1"/>
                <w:szCs w:val="20"/>
                <w:lang w:val="en-US" w:eastAsia="zh-CN"/>
                <w14:textFill>
                  <w14:solidFill>
                    <w14:schemeClr w14:val="tx1"/>
                  </w14:solidFill>
                </w14:textFill>
              </w:rPr>
            </w:pPr>
            <w:r>
              <w:rPr>
                <w:rFonts w:hint="eastAsia"/>
                <w:color w:val="000000" w:themeColor="text1"/>
                <w:szCs w:val="20"/>
                <w14:textFill>
                  <w14:solidFill>
                    <w14:schemeClr w14:val="tx1"/>
                  </w14:solidFill>
                </w14:textFill>
              </w:rPr>
              <w:t>5</w:t>
            </w:r>
            <w:r>
              <w:rPr>
                <w:rFonts w:hint="eastAsia"/>
                <w:color w:val="000000" w:themeColor="text1"/>
                <w:szCs w:val="20"/>
                <w:lang w:eastAsia="zh-CN"/>
                <w14:textFill>
                  <w14:solidFill>
                    <w14:schemeClr w14:val="tx1"/>
                  </w14:solidFill>
                </w14:textFill>
              </w:rPr>
              <w:t>（</w:t>
            </w:r>
            <w:r>
              <w:rPr>
                <w:rFonts w:hint="eastAsia"/>
                <w:color w:val="000000" w:themeColor="text1"/>
                <w:szCs w:val="20"/>
                <w:lang w:val="en-US" w:eastAsia="zh-CN"/>
                <w14:textFill>
                  <w14:solidFill>
                    <w14:schemeClr w14:val="tx1"/>
                  </w14:solidFill>
                </w14:textFill>
              </w:rPr>
              <w:t>8）</w:t>
            </w:r>
          </w:p>
        </w:tc>
        <w:tc>
          <w:tcPr>
            <w:tcW w:w="1151" w:type="dxa"/>
            <w:gridSpan w:val="2"/>
            <w:vMerge w:val="continue"/>
            <w:vAlign w:val="center"/>
          </w:tcPr>
          <w:p w14:paraId="501500DA">
            <w:pPr>
              <w:widowControl/>
              <w:jc w:val="center"/>
              <w:rPr>
                <w:szCs w:val="24"/>
                <w:highlight w:val="yellow"/>
              </w:rPr>
            </w:pPr>
          </w:p>
        </w:tc>
        <w:tc>
          <w:tcPr>
            <w:tcW w:w="1321" w:type="dxa"/>
            <w:vAlign w:val="center"/>
          </w:tcPr>
          <w:p w14:paraId="0D2C10E6">
            <w:pPr>
              <w:widowControl/>
              <w:spacing w:line="360" w:lineRule="exact"/>
              <w:jc w:val="center"/>
              <w:rPr>
                <w:rFonts w:eastAsiaTheme="minorEastAsia"/>
                <w:color w:val="auto"/>
                <w:szCs w:val="20"/>
              </w:rPr>
            </w:pPr>
            <w:r>
              <w:rPr>
                <w:rFonts w:hint="eastAsia" w:eastAsiaTheme="minorEastAsia"/>
                <w:color w:val="auto"/>
                <w:szCs w:val="20"/>
              </w:rPr>
              <w:t>5.475</w:t>
            </w:r>
          </w:p>
        </w:tc>
        <w:tc>
          <w:tcPr>
            <w:tcW w:w="1231" w:type="dxa"/>
            <w:vMerge w:val="continue"/>
            <w:vAlign w:val="center"/>
          </w:tcPr>
          <w:p w14:paraId="0E3CFD16">
            <w:pPr>
              <w:widowControl/>
              <w:spacing w:line="360" w:lineRule="exact"/>
              <w:ind w:firstLine="105" w:firstLineChars="50"/>
              <w:jc w:val="center"/>
              <w:rPr>
                <w:szCs w:val="20"/>
                <w:highlight w:val="yellow"/>
              </w:rPr>
            </w:pPr>
          </w:p>
        </w:tc>
        <w:tc>
          <w:tcPr>
            <w:tcW w:w="1153" w:type="dxa"/>
            <w:shd w:val="clear" w:color="auto" w:fill="auto"/>
            <w:vAlign w:val="center"/>
          </w:tcPr>
          <w:p w14:paraId="7B4D7376">
            <w:pPr>
              <w:widowControl/>
              <w:spacing w:line="360" w:lineRule="exact"/>
              <w:jc w:val="center"/>
              <w:rPr>
                <w:rFonts w:ascii="Times New Roman" w:hAnsi="Times New Roman" w:cs="Times New Roman" w:eastAsiaTheme="minorEastAsia"/>
                <w:color w:val="auto"/>
                <w:kern w:val="2"/>
                <w:sz w:val="21"/>
                <w:szCs w:val="20"/>
                <w:lang w:val="en-US" w:eastAsia="zh-CN" w:bidi="ar-SA"/>
              </w:rPr>
            </w:pPr>
            <w:r>
              <w:rPr>
                <w:rFonts w:hint="eastAsia" w:eastAsiaTheme="minorEastAsia"/>
                <w:color w:val="auto"/>
                <w:szCs w:val="20"/>
                <w:lang w:val="en-US" w:eastAsia="zh-CN"/>
              </w:rPr>
              <w:t>0.015</w:t>
            </w:r>
          </w:p>
        </w:tc>
      </w:tr>
      <w:tr w14:paraId="6774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945" w:type="dxa"/>
            <w:gridSpan w:val="7"/>
          </w:tcPr>
          <w:p w14:paraId="0123E1C6">
            <w:pPr>
              <w:widowControl/>
              <w:snapToGrid w:val="0"/>
              <w:spacing w:line="360" w:lineRule="exact"/>
              <w:rPr>
                <w:szCs w:val="20"/>
              </w:rPr>
            </w:pPr>
            <w:r>
              <w:rPr>
                <w:rFonts w:hint="eastAsia"/>
                <w:szCs w:val="20"/>
              </w:rPr>
              <w:t>信息公开要求：</w:t>
            </w:r>
          </w:p>
          <w:p w14:paraId="2532D82E">
            <w:pPr>
              <w:pStyle w:val="10"/>
              <w:widowControl/>
              <w:snapToGrid w:val="0"/>
              <w:spacing w:line="360" w:lineRule="exact"/>
              <w:ind w:left="0" w:firstLine="420" w:firstLineChars="200"/>
              <w:jc w:val="both"/>
              <w:rPr>
                <w:rFonts w:hint="eastAsia"/>
                <w:lang w:eastAsia="zh-CN"/>
              </w:rPr>
            </w:pPr>
            <w:r>
              <w:rPr>
                <w:rFonts w:hint="eastAsia" w:ascii="Times New Roman" w:hAnsi="Times New Roman" w:eastAsia="宋体"/>
                <w:kern w:val="2"/>
                <w:sz w:val="21"/>
                <w:szCs w:val="22"/>
                <w:lang w:eastAsia="zh-CN"/>
              </w:rPr>
              <w:t>根据《入河排污口监督管理办法》以及HJ</w:t>
            </w:r>
            <w:r>
              <w:rPr>
                <w:rFonts w:ascii="Times New Roman" w:hAnsi="Times New Roman" w:eastAsia="宋体"/>
                <w:kern w:val="2"/>
                <w:sz w:val="21"/>
                <w:szCs w:val="22"/>
                <w:lang w:eastAsia="zh-CN"/>
              </w:rPr>
              <w:t>1386</w:t>
            </w:r>
            <w:r>
              <w:rPr>
                <w:rFonts w:hint="eastAsia" w:ascii="Times New Roman" w:hAnsi="Times New Roman" w:eastAsia="宋体"/>
                <w:kern w:val="2"/>
                <w:sz w:val="21"/>
                <w:szCs w:val="22"/>
                <w:lang w:eastAsia="zh-CN"/>
              </w:rPr>
              <w:t>标准要求，该入河排污口的</w:t>
            </w:r>
            <w:r>
              <w:rPr>
                <w:rFonts w:hint="eastAsia" w:ascii="Times New Roman" w:hAnsi="Times New Roman" w:eastAsia="宋体"/>
                <w:kern w:val="2"/>
                <w:sz w:val="21"/>
                <w:szCs w:val="22"/>
                <w:u w:val="single"/>
                <w:lang w:eastAsia="zh-CN"/>
              </w:rPr>
              <w:t xml:space="preserve">  地理坐标、污染物种类</w:t>
            </w:r>
            <w:r>
              <w:rPr>
                <w:rFonts w:ascii="Times New Roman" w:hAnsi="Times New Roman" w:eastAsia="宋体"/>
                <w:kern w:val="2"/>
                <w:sz w:val="21"/>
                <w:szCs w:val="22"/>
                <w:lang w:eastAsia="zh-CN"/>
              </w:rPr>
              <w:t>_</w:t>
            </w:r>
            <w:r>
              <w:rPr>
                <w:rFonts w:hint="eastAsia" w:ascii="Times New Roman" w:hAnsi="Times New Roman" w:eastAsia="宋体"/>
                <w:kern w:val="2"/>
                <w:sz w:val="21"/>
                <w:szCs w:val="22"/>
                <w:lang w:eastAsia="zh-CN"/>
              </w:rPr>
              <w:t>等信息应以</w:t>
            </w:r>
            <w:r>
              <w:rPr>
                <w:rFonts w:hint="eastAsia" w:ascii="Times New Roman" w:hAnsi="Times New Roman" w:eastAsia="宋体"/>
                <w:kern w:val="2"/>
                <w:sz w:val="21"/>
                <w:szCs w:val="22"/>
                <w:lang w:eastAsia="zh-CN"/>
              </w:rPr>
              <w:sym w:font="Wingdings" w:char="00FE"/>
            </w:r>
            <w:r>
              <w:rPr>
                <w:rFonts w:hint="eastAsia" w:ascii="Times New Roman" w:hAnsi="Times New Roman" w:eastAsia="宋体"/>
                <w:kern w:val="2"/>
                <w:sz w:val="21"/>
                <w:szCs w:val="22"/>
                <w:lang w:eastAsia="zh-CN"/>
              </w:rPr>
              <w:t>标识牌</w:t>
            </w:r>
            <w:r>
              <w:rPr>
                <w:rFonts w:ascii="Times New Roman" w:hAnsi="Times New Roman" w:eastAsia="宋体"/>
                <w:kern w:val="2"/>
                <w:sz w:val="21"/>
                <w:szCs w:val="22"/>
                <w:lang w:eastAsia="zh-CN"/>
              </w:rPr>
              <w:sym w:font="Wingdings 2" w:char="00A3"/>
            </w:r>
            <w:r>
              <w:rPr>
                <w:rFonts w:hint="eastAsia" w:ascii="Times New Roman" w:hAnsi="Times New Roman" w:eastAsia="宋体"/>
                <w:kern w:val="2"/>
                <w:sz w:val="21"/>
                <w:szCs w:val="22"/>
                <w:lang w:eastAsia="zh-CN"/>
              </w:rPr>
              <w:t>/二维码/</w:t>
            </w:r>
            <w:r>
              <w:rPr>
                <w:rFonts w:ascii="Times New Roman" w:hAnsi="Times New Roman" w:eastAsia="宋体"/>
                <w:kern w:val="2"/>
                <w:sz w:val="21"/>
                <w:szCs w:val="22"/>
                <w:lang w:eastAsia="zh-CN"/>
              </w:rPr>
              <w:sym w:font="Wingdings 2" w:char="00A3"/>
            </w:r>
            <w:r>
              <w:rPr>
                <w:rFonts w:hint="eastAsia" w:ascii="Times New Roman" w:hAnsi="Times New Roman" w:eastAsia="宋体"/>
                <w:kern w:val="2"/>
                <w:sz w:val="21"/>
                <w:szCs w:val="22"/>
                <w:lang w:eastAsia="zh-CN"/>
              </w:rPr>
              <w:t>显示屏</w:t>
            </w:r>
            <w:r>
              <w:rPr>
                <w:rFonts w:ascii="Times New Roman" w:hAnsi="Times New Roman" w:eastAsia="宋体"/>
                <w:kern w:val="2"/>
                <w:sz w:val="21"/>
                <w:szCs w:val="22"/>
                <w:lang w:eastAsia="zh-CN"/>
              </w:rPr>
              <w:sym w:font="Wingdings 2" w:char="00A3"/>
            </w:r>
            <w:r>
              <w:rPr>
                <w:rFonts w:ascii="Times New Roman" w:hAnsi="Times New Roman" w:eastAsia="宋体"/>
                <w:kern w:val="2"/>
                <w:sz w:val="21"/>
                <w:szCs w:val="22"/>
                <w:lang w:eastAsia="zh-CN"/>
              </w:rPr>
              <w:t>_______</w:t>
            </w:r>
            <w:r>
              <w:rPr>
                <w:rFonts w:hint="eastAsia" w:ascii="Times New Roman" w:hAnsi="Times New Roman" w:eastAsia="宋体"/>
                <w:kern w:val="2"/>
                <w:sz w:val="21"/>
                <w:szCs w:val="22"/>
                <w:lang w:eastAsia="zh-CN"/>
              </w:rPr>
              <w:t>等方式在入河排污口处信息公开。</w:t>
            </w:r>
          </w:p>
        </w:tc>
      </w:tr>
      <w:tr w14:paraId="7D26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8945" w:type="dxa"/>
            <w:gridSpan w:val="7"/>
            <w:vAlign w:val="center"/>
          </w:tcPr>
          <w:p w14:paraId="3C1D1A81">
            <w:pPr>
              <w:widowControl/>
              <w:snapToGrid w:val="0"/>
              <w:spacing w:line="360" w:lineRule="exact"/>
              <w:rPr>
                <w:szCs w:val="20"/>
              </w:rPr>
            </w:pPr>
            <w:r>
              <w:rPr>
                <w:rFonts w:hint="eastAsia"/>
                <w:szCs w:val="20"/>
              </w:rPr>
              <w:t>水污染事故应急处理预案以及环境风险防范措施：</w:t>
            </w:r>
          </w:p>
          <w:p w14:paraId="026B66AA">
            <w:pPr>
              <w:snapToGrid w:val="0"/>
              <w:spacing w:line="360" w:lineRule="exact"/>
              <w:ind w:firstLine="420" w:firstLineChars="200"/>
            </w:pPr>
            <w:r>
              <w:rPr>
                <w:rFonts w:hint="eastAsia"/>
              </w:rPr>
              <w:t>该入河排污口对应的责任主体</w:t>
            </w:r>
            <w:r>
              <w:rPr>
                <w:rFonts w:hint="eastAsia"/>
                <w:u w:val="single"/>
              </w:rPr>
              <w:t>昌图县住房和城乡建设局</w:t>
            </w:r>
            <w:r>
              <w:rPr>
                <w:rFonts w:hint="eastAsia"/>
              </w:rPr>
              <w:t>应当按照排污单位有关要求，做好污染事故应急处理预案、环境风险防范及应急处置措施，具体包括：</w:t>
            </w:r>
          </w:p>
          <w:p w14:paraId="32CE0A23">
            <w:pPr>
              <w:ind w:firstLine="422" w:firstLineChars="200"/>
              <w:rPr>
                <w:b/>
                <w:bCs/>
                <w:szCs w:val="21"/>
              </w:rPr>
            </w:pPr>
            <w:bookmarkStart w:id="3" w:name="_Toc11921"/>
            <w:bookmarkStart w:id="4" w:name="_Toc26809_WPSOffice_Level2"/>
            <w:r>
              <w:rPr>
                <w:b/>
                <w:bCs/>
                <w:szCs w:val="21"/>
              </w:rPr>
              <w:t>1</w:t>
            </w:r>
            <w:bookmarkEnd w:id="3"/>
            <w:bookmarkEnd w:id="4"/>
            <w:bookmarkStart w:id="5" w:name="_Toc14238_WPSOffice_Level2"/>
            <w:bookmarkStart w:id="6" w:name="_Toc18739"/>
            <w:r>
              <w:rPr>
                <w:b/>
                <w:bCs/>
                <w:szCs w:val="21"/>
              </w:rPr>
              <w:t>、风险事故成因分析</w:t>
            </w:r>
          </w:p>
          <w:p w14:paraId="748EC75D">
            <w:pPr>
              <w:ind w:firstLine="420" w:firstLineChars="200"/>
              <w:rPr>
                <w:szCs w:val="21"/>
              </w:rPr>
            </w:pPr>
            <w:r>
              <w:rPr>
                <w:szCs w:val="21"/>
              </w:rPr>
              <w:t>污水处理工程运行中比较常见事故情况主要包括以下情形：</w:t>
            </w:r>
          </w:p>
          <w:p w14:paraId="477C5AFA">
            <w:pPr>
              <w:ind w:firstLine="420" w:firstLineChars="200"/>
              <w:rPr>
                <w:szCs w:val="21"/>
              </w:rPr>
            </w:pPr>
            <w:r>
              <w:rPr>
                <w:szCs w:val="21"/>
              </w:rPr>
              <w:t>（1）运行异常</w:t>
            </w:r>
          </w:p>
          <w:p w14:paraId="7119A447">
            <w:pPr>
              <w:ind w:firstLine="420" w:firstLineChars="200"/>
              <w:rPr>
                <w:szCs w:val="21"/>
              </w:rPr>
            </w:pPr>
            <w:r>
              <w:rPr>
                <w:szCs w:val="21"/>
              </w:rPr>
              <w:t>污水处理设备运行异常，通常是因机械故障、设备损坏，以及进水水质恶化等原因导致。</w:t>
            </w:r>
          </w:p>
          <w:p w14:paraId="741490AE">
            <w:pPr>
              <w:ind w:firstLine="420" w:firstLineChars="200"/>
              <w:rPr>
                <w:szCs w:val="21"/>
              </w:rPr>
            </w:pPr>
            <w:r>
              <w:rPr>
                <w:szCs w:val="21"/>
              </w:rPr>
              <w:t>1）机械故障是比较常见的现象。污水处理设备进水杂物处理不彻底，导致机械故障是主因，因此需要及时对拦污格栅进行清理、维护、更新，避免杂物进入后期处理系统，影响系统正常运行。</w:t>
            </w:r>
          </w:p>
          <w:p w14:paraId="415C8EFB">
            <w:pPr>
              <w:ind w:firstLine="420" w:firstLineChars="200"/>
              <w:rPr>
                <w:szCs w:val="21"/>
              </w:rPr>
            </w:pPr>
            <w:r>
              <w:rPr>
                <w:szCs w:val="21"/>
              </w:rPr>
              <w:t>2）设备运行中磨损、老化、损坏是设备故障的主要原因，需要加强设备维护、保养，对老旧设备进行更新，保障设备正常运行。</w:t>
            </w:r>
          </w:p>
          <w:p w14:paraId="47B66ED7">
            <w:pPr>
              <w:ind w:firstLine="420" w:firstLineChars="200"/>
              <w:rPr>
                <w:szCs w:val="21"/>
              </w:rPr>
            </w:pPr>
            <w:r>
              <w:rPr>
                <w:szCs w:val="21"/>
              </w:rPr>
              <w:t>3）污水管网服务范围内污水来源发生变化，导致进水水质异常，是极难控制的。影响因素，因此进水水质监测是很重要的。当出现水质异常时，要及时对服务范围内异常污水来源进行调查，及时进行处置。同时在发现进水水质异常后，对出水进行控制，一般可利用水泵将不达标出水回流到进水泵房，重新进行处理，并关闭出水水阀，防止超标尾水排至纳污水体。</w:t>
            </w:r>
          </w:p>
          <w:p w14:paraId="5CE69337">
            <w:pPr>
              <w:ind w:firstLine="420" w:firstLineChars="200"/>
              <w:rPr>
                <w:szCs w:val="21"/>
              </w:rPr>
            </w:pPr>
            <w:r>
              <w:rPr>
                <w:szCs w:val="21"/>
              </w:rPr>
              <w:t>（2）供电故障</w:t>
            </w:r>
          </w:p>
          <w:p w14:paraId="16747007">
            <w:pPr>
              <w:ind w:firstLine="420" w:firstLineChars="200"/>
              <w:rPr>
                <w:szCs w:val="21"/>
              </w:rPr>
            </w:pPr>
            <w:r>
              <w:rPr>
                <w:szCs w:val="21"/>
              </w:rPr>
              <w:t>供电系统安全是污水处理设备重要保障之一，现行污水处理设备在设计中，对供电方面采取双电路保障，并配备自备电源，因此供电故障处置相对快速，影响时间相对较短，事故后可采取延长污水处理时间的方法对事故期污水进行处理。</w:t>
            </w:r>
          </w:p>
          <w:p w14:paraId="4811BD0D">
            <w:pPr>
              <w:ind w:firstLine="420" w:firstLineChars="200"/>
              <w:rPr>
                <w:szCs w:val="21"/>
              </w:rPr>
            </w:pPr>
            <w:r>
              <w:rPr>
                <w:szCs w:val="21"/>
              </w:rPr>
              <w:t>（3）污泥处置不当</w:t>
            </w:r>
          </w:p>
          <w:p w14:paraId="4F11F81B">
            <w:pPr>
              <w:ind w:firstLine="420" w:firstLineChars="200"/>
              <w:rPr>
                <w:szCs w:val="21"/>
              </w:rPr>
            </w:pPr>
            <w:r>
              <w:rPr>
                <w:szCs w:val="21"/>
              </w:rPr>
              <w:t>当污泥脱水系统遇到故障，长时间不能恢复生产时，要及时对污泥按照相关技术规定进行妥善处理。如不妥善处置，不仅会影响污水处理系统正常运行，而且会造成环境污染。</w:t>
            </w:r>
          </w:p>
          <w:p w14:paraId="404C424C">
            <w:pPr>
              <w:ind w:firstLine="420" w:firstLineChars="200"/>
              <w:rPr>
                <w:szCs w:val="21"/>
              </w:rPr>
            </w:pPr>
            <w:r>
              <w:rPr>
                <w:szCs w:val="21"/>
              </w:rPr>
              <w:t>（4）自然灾害</w:t>
            </w:r>
          </w:p>
          <w:p w14:paraId="22167F3D">
            <w:pPr>
              <w:ind w:firstLine="420" w:firstLineChars="200"/>
              <w:rPr>
                <w:szCs w:val="21"/>
              </w:rPr>
            </w:pPr>
            <w:r>
              <w:rPr>
                <w:szCs w:val="21"/>
              </w:rPr>
              <w:t>台风、暴雨、雷击等自然灾害易造成污水处理系统电力中断、站房坍塌、设备损坏、进水异常等事故，可能导致污水处理系统运行异常或停止运行，造成污染事故。</w:t>
            </w:r>
          </w:p>
          <w:p w14:paraId="6400BD3D">
            <w:pPr>
              <w:ind w:firstLine="420" w:firstLineChars="200"/>
              <w:rPr>
                <w:szCs w:val="21"/>
              </w:rPr>
            </w:pPr>
            <w:r>
              <w:rPr>
                <w:szCs w:val="21"/>
              </w:rPr>
              <w:t>（5）火灾影响</w:t>
            </w:r>
          </w:p>
          <w:p w14:paraId="73DD5192">
            <w:pPr>
              <w:ind w:firstLine="420" w:firstLineChars="200"/>
              <w:rPr>
                <w:szCs w:val="21"/>
              </w:rPr>
            </w:pPr>
            <w:r>
              <w:rPr>
                <w:szCs w:val="21"/>
              </w:rPr>
              <w:t>污水处理设施因长期运行，易出现电路老化而诱发火灾，从而导致污水处理站运行中断，引发环境污染事故。</w:t>
            </w:r>
          </w:p>
          <w:p w14:paraId="62890D57">
            <w:pPr>
              <w:ind w:firstLine="422" w:firstLineChars="200"/>
              <w:rPr>
                <w:b/>
                <w:bCs/>
                <w:szCs w:val="21"/>
              </w:rPr>
            </w:pPr>
            <w:r>
              <w:rPr>
                <w:rFonts w:hint="eastAsia"/>
                <w:b/>
                <w:bCs/>
                <w:szCs w:val="21"/>
              </w:rPr>
              <w:t>2、</w:t>
            </w:r>
            <w:r>
              <w:rPr>
                <w:b/>
                <w:bCs/>
                <w:szCs w:val="21"/>
              </w:rPr>
              <w:t>事故防范措施及对策</w:t>
            </w:r>
            <w:bookmarkEnd w:id="5"/>
            <w:bookmarkEnd w:id="6"/>
          </w:p>
          <w:p w14:paraId="61336457">
            <w:pPr>
              <w:ind w:firstLine="420" w:firstLineChars="200"/>
              <w:rPr>
                <w:szCs w:val="21"/>
              </w:rPr>
            </w:pPr>
            <w:r>
              <w:rPr>
                <w:szCs w:val="21"/>
              </w:rPr>
              <w:t>（1）设备故障时应急预防措施</w:t>
            </w:r>
          </w:p>
          <w:p w14:paraId="77C8F0C2">
            <w:pPr>
              <w:ind w:firstLine="420" w:firstLineChars="200"/>
              <w:rPr>
                <w:szCs w:val="21"/>
              </w:rPr>
            </w:pPr>
            <w:r>
              <w:rPr>
                <w:szCs w:val="21"/>
              </w:rPr>
              <w:t>1）为使在事故状态下污水处理设备仪表等设备正常运转，必须选择质量优良、事故率低、便于维修的产品。关键设备应有备用，易损部件也要有备用，在事故出现时做到及时更换。</w:t>
            </w:r>
          </w:p>
          <w:p w14:paraId="2D38D12A">
            <w:pPr>
              <w:ind w:firstLine="420" w:firstLineChars="200"/>
              <w:rPr>
                <w:szCs w:val="21"/>
              </w:rPr>
            </w:pPr>
            <w:r>
              <w:rPr>
                <w:szCs w:val="21"/>
              </w:rPr>
              <w:t>2）为使在事故状态下污水处理设备能够迅速恢复正常运行，应在主要水工建筑物的容积上留有相应的缓冲能力，并配有相应的设备（如回流泵、回流管道、阀门等）。</w:t>
            </w:r>
          </w:p>
          <w:p w14:paraId="558F7831">
            <w:pPr>
              <w:ind w:firstLine="420" w:firstLineChars="200"/>
              <w:rPr>
                <w:szCs w:val="21"/>
              </w:rPr>
            </w:pPr>
            <w:r>
              <w:rPr>
                <w:szCs w:val="21"/>
              </w:rPr>
              <w:t>3）加强事故隐患监控，定期巡检、调节、保养、维修。及时发现有可能引起事故的异常运行苗头，消除事故隐患。</w:t>
            </w:r>
          </w:p>
          <w:p w14:paraId="4D52943F">
            <w:pPr>
              <w:ind w:firstLine="420" w:firstLineChars="200"/>
              <w:rPr>
                <w:szCs w:val="21"/>
              </w:rPr>
            </w:pPr>
            <w:r>
              <w:rPr>
                <w:szCs w:val="21"/>
              </w:rPr>
              <w:t>4）严格控制处理单元的水量、水质、停留时间、负荷强度等工艺参数，确保处理效果的稳定性。配备流量、水质自动分析监控仪器，定期取样监测。操作人员及时调整，使设备处于最佳工况。如发现不正常现象，就需立即采取预防措施。</w:t>
            </w:r>
          </w:p>
          <w:p w14:paraId="2A084B26">
            <w:pPr>
              <w:ind w:firstLine="420" w:firstLineChars="200"/>
              <w:rPr>
                <w:szCs w:val="21"/>
              </w:rPr>
            </w:pPr>
            <w:r>
              <w:rPr>
                <w:szCs w:val="21"/>
              </w:rPr>
              <w:t>5）污水处理设备在发生事故、检修等特殊情况下，应立即停产并关闭出水阀门，防止污水进入排污管道和外环境中，避免污水未经处理外排造成严重的污染事件。</w:t>
            </w:r>
          </w:p>
          <w:p w14:paraId="1C0DB751">
            <w:pPr>
              <w:ind w:firstLine="420" w:firstLineChars="200"/>
              <w:rPr>
                <w:szCs w:val="21"/>
              </w:rPr>
            </w:pPr>
            <w:r>
              <w:rPr>
                <w:szCs w:val="21"/>
              </w:rPr>
              <w:t>（2）进水水质异常风险防范措施</w:t>
            </w:r>
          </w:p>
          <w:p w14:paraId="7F9AAD87">
            <w:pPr>
              <w:ind w:firstLine="420" w:firstLineChars="200"/>
              <w:rPr>
                <w:szCs w:val="21"/>
              </w:rPr>
            </w:pPr>
            <w:r>
              <w:rPr>
                <w:szCs w:val="21"/>
              </w:rPr>
              <w:t>一旦发现进水水质异常，应及时向有关部门反映查明原因，采取有效处理措施，最大限度降低对周围环境及财产造成的危害。</w:t>
            </w:r>
          </w:p>
          <w:p w14:paraId="341CA083">
            <w:pPr>
              <w:ind w:firstLine="420" w:firstLineChars="200"/>
              <w:rPr>
                <w:szCs w:val="21"/>
              </w:rPr>
            </w:pPr>
            <w:r>
              <w:rPr>
                <w:szCs w:val="21"/>
              </w:rPr>
              <w:t>（3）污泥处置过程环境风险防范</w:t>
            </w:r>
          </w:p>
          <w:p w14:paraId="470443A1">
            <w:pPr>
              <w:ind w:firstLine="420" w:firstLineChars="200"/>
              <w:rPr>
                <w:szCs w:val="21"/>
              </w:rPr>
            </w:pPr>
            <w:r>
              <w:rPr>
                <w:szCs w:val="21"/>
              </w:rPr>
              <w:t>污水处理设备一旦发生污泥非正常排放的事故，应及时进行设备维修，争取在池内存放污泥的限度内修好，并及时投加药剂，如石灰等，防止发生污泥发酵，减少恶臭气体排放。</w:t>
            </w:r>
          </w:p>
          <w:p w14:paraId="237A28C3">
            <w:pPr>
              <w:ind w:firstLine="420" w:firstLineChars="200"/>
              <w:rPr>
                <w:szCs w:val="21"/>
              </w:rPr>
            </w:pPr>
            <w:r>
              <w:rPr>
                <w:szCs w:val="21"/>
              </w:rPr>
              <w:t>（4）管道破损泄漏风险防范</w:t>
            </w:r>
          </w:p>
          <w:p w14:paraId="5D5756D5">
            <w:pPr>
              <w:ind w:firstLine="420" w:firstLineChars="200"/>
              <w:rPr>
                <w:szCs w:val="21"/>
              </w:rPr>
            </w:pPr>
            <w:r>
              <w:rPr>
                <w:szCs w:val="21"/>
              </w:rPr>
              <w:t>1）管道衔接应防止泄漏污染地下水，淤塞应及时疏浚，保证管道通畅。</w:t>
            </w:r>
          </w:p>
          <w:p w14:paraId="0743684B">
            <w:pPr>
              <w:ind w:firstLine="420" w:firstLineChars="200"/>
              <w:rPr>
                <w:szCs w:val="21"/>
              </w:rPr>
            </w:pPr>
            <w:r>
              <w:rPr>
                <w:szCs w:val="21"/>
              </w:rPr>
              <w:t>2）设立明显的管道标志，防止意外破坏。</w:t>
            </w:r>
          </w:p>
          <w:p w14:paraId="69660A7F">
            <w:pPr>
              <w:ind w:firstLine="420" w:firstLineChars="200"/>
              <w:rPr>
                <w:szCs w:val="21"/>
              </w:rPr>
            </w:pPr>
            <w:r>
              <w:rPr>
                <w:szCs w:val="21"/>
              </w:rPr>
              <w:t>3）运营期建立定期巡视制度，尤其是运营数年后应加大巡视密度，发现小股泄漏即应更换破损管节，避免爆管更换。</w:t>
            </w:r>
          </w:p>
          <w:p w14:paraId="50CE52BC">
            <w:pPr>
              <w:ind w:firstLine="420" w:firstLineChars="200"/>
              <w:rPr>
                <w:szCs w:val="21"/>
              </w:rPr>
            </w:pPr>
            <w:r>
              <w:rPr>
                <w:szCs w:val="21"/>
              </w:rPr>
              <w:t>4）当发生管网爆管、断管、漏水时，必须立即采取措施，对突发地段进行闭管，并及时报告当地有关职能部门。</w:t>
            </w:r>
          </w:p>
          <w:p w14:paraId="18D2784D">
            <w:pPr>
              <w:ind w:firstLine="420" w:firstLineChars="200"/>
              <w:rPr>
                <w:szCs w:val="21"/>
              </w:rPr>
            </w:pPr>
            <w:r>
              <w:rPr>
                <w:szCs w:val="21"/>
              </w:rPr>
              <w:t>（5）突发事故消防废水应急处理措施</w:t>
            </w:r>
          </w:p>
          <w:p w14:paraId="32511403">
            <w:pPr>
              <w:ind w:firstLine="420" w:firstLineChars="200"/>
              <w:rPr>
                <w:szCs w:val="21"/>
              </w:rPr>
            </w:pPr>
            <w:r>
              <w:rPr>
                <w:szCs w:val="21"/>
              </w:rPr>
              <w:t>火灾时消防废水使用吸附棉条进行吸附，采用沙袋堆放临时围堰，消防废水不会溢出事故源所在场所，通过铲、舀、拖等方式将消防废水收集入塑料废物桶内，围堰内的沉降物、吸附棉条、黄沙均作为危险废物收集处理。</w:t>
            </w:r>
          </w:p>
          <w:p w14:paraId="01CC8C00">
            <w:pPr>
              <w:ind w:firstLine="422" w:firstLineChars="200"/>
              <w:rPr>
                <w:b/>
                <w:bCs/>
                <w:szCs w:val="21"/>
              </w:rPr>
            </w:pPr>
            <w:bookmarkStart w:id="7" w:name="_Toc29880"/>
            <w:bookmarkStart w:id="8" w:name="_Toc18157_WPSOffice_Level2"/>
            <w:r>
              <w:rPr>
                <w:rFonts w:hint="eastAsia"/>
                <w:b/>
                <w:bCs/>
                <w:szCs w:val="21"/>
              </w:rPr>
              <w:t>3</w:t>
            </w:r>
            <w:r>
              <w:rPr>
                <w:b/>
                <w:bCs/>
                <w:szCs w:val="21"/>
              </w:rPr>
              <w:t>、</w:t>
            </w:r>
            <w:r>
              <w:rPr>
                <w:b/>
                <w:bCs/>
                <w:spacing w:val="1"/>
                <w:szCs w:val="21"/>
              </w:rPr>
              <w:t>突发事故对策和应急方案</w:t>
            </w:r>
            <w:bookmarkEnd w:id="7"/>
            <w:bookmarkEnd w:id="8"/>
          </w:p>
          <w:p w14:paraId="68A6AB7A">
            <w:pPr>
              <w:ind w:firstLine="420" w:firstLineChars="200"/>
              <w:rPr>
                <w:szCs w:val="21"/>
              </w:rPr>
            </w:pPr>
            <w:r>
              <w:rPr>
                <w:szCs w:val="21"/>
              </w:rPr>
              <w:t>建设单位突发环境事件应急预案中应包含污水处理系统突发性水污染事故排放情景及应急处置措施，并上报相关主管部门备案。在污水收集、输送和处理过程中，一旦出现突发性事故，必须按预先拟定的方案，进行紧急处理。</w:t>
            </w:r>
          </w:p>
          <w:p w14:paraId="74BBEE89">
            <w:pPr>
              <w:ind w:firstLine="422" w:firstLineChars="200"/>
              <w:rPr>
                <w:b/>
                <w:bCs/>
                <w:szCs w:val="21"/>
              </w:rPr>
            </w:pPr>
            <w:bookmarkStart w:id="9" w:name="_Toc24046"/>
            <w:bookmarkStart w:id="10" w:name="_Toc11002_WPSOffice_Level2"/>
            <w:r>
              <w:rPr>
                <w:rFonts w:hint="eastAsia"/>
                <w:b/>
                <w:bCs/>
                <w:szCs w:val="21"/>
              </w:rPr>
              <w:t>4</w:t>
            </w:r>
            <w:r>
              <w:rPr>
                <w:b/>
                <w:bCs/>
                <w:szCs w:val="21"/>
              </w:rPr>
              <w:t>、</w:t>
            </w:r>
            <w:r>
              <w:rPr>
                <w:b/>
                <w:bCs/>
                <w:spacing w:val="1"/>
                <w:szCs w:val="21"/>
              </w:rPr>
              <w:t>建立事故性排放的报告制度</w:t>
            </w:r>
            <w:bookmarkEnd w:id="9"/>
            <w:bookmarkEnd w:id="10"/>
          </w:p>
          <w:p w14:paraId="09386E03">
            <w:pPr>
              <w:ind w:firstLine="420" w:firstLineChars="200"/>
              <w:rPr>
                <w:szCs w:val="21"/>
              </w:rPr>
            </w:pPr>
            <w:r>
              <w:rPr>
                <w:szCs w:val="21"/>
              </w:rPr>
              <w:t>一旦事故性排放事件发生，应及时发现和处理，并迅速向当地政府及有关职能部门报告，配合当地政府对事故性排放进行处理，开展污染事故监测工作。做好排污河段水质的应急监测工作，增加监测频次和参数。及时将事故信息通知相关单位，减少事故性排放的社会影响。</w:t>
            </w:r>
          </w:p>
          <w:p w14:paraId="1A3C0D40">
            <w:pPr>
              <w:ind w:firstLine="422" w:firstLineChars="200"/>
              <w:rPr>
                <w:b/>
                <w:bCs/>
                <w:szCs w:val="21"/>
              </w:rPr>
            </w:pPr>
            <w:bookmarkStart w:id="11" w:name="_Toc4393"/>
            <w:bookmarkStart w:id="12" w:name="_Toc19164_WPSOffice_Level2"/>
            <w:r>
              <w:rPr>
                <w:rFonts w:hint="eastAsia"/>
                <w:b/>
                <w:bCs/>
                <w:szCs w:val="21"/>
              </w:rPr>
              <w:t>5</w:t>
            </w:r>
            <w:r>
              <w:rPr>
                <w:b/>
                <w:bCs/>
                <w:szCs w:val="21"/>
              </w:rPr>
              <w:t>、加强应对事故性排放处理设施设备及物质的准备</w:t>
            </w:r>
            <w:bookmarkEnd w:id="11"/>
            <w:bookmarkEnd w:id="12"/>
          </w:p>
          <w:p w14:paraId="040B780F">
            <w:pPr>
              <w:ind w:firstLine="420" w:firstLineChars="200"/>
              <w:rPr>
                <w:szCs w:val="21"/>
              </w:rPr>
            </w:pPr>
            <w:r>
              <w:rPr>
                <w:szCs w:val="21"/>
              </w:rPr>
              <w:t>当污水处理设施出现非正常运行，废水排放超标时，应立即对发生事故的工艺构筑物停止进水，并安排专业技术人员对发生故障的废水处理设施进行故障排查与抢修。工程污水处理设施恢复正常后，将事故废水排入处理设施重新处理。故针对事故性排放，运营单位日常应设置预防性的处理设施设备和储备相应的应急物质。</w:t>
            </w:r>
          </w:p>
          <w:p w14:paraId="096FD7E1">
            <w:pPr>
              <w:ind w:firstLine="422" w:firstLineChars="200"/>
              <w:rPr>
                <w:b/>
                <w:bCs/>
                <w:szCs w:val="21"/>
              </w:rPr>
            </w:pPr>
            <w:bookmarkStart w:id="13" w:name="_Toc16715_WPSOffice_Level2"/>
            <w:bookmarkStart w:id="14" w:name="_Toc21588"/>
            <w:r>
              <w:rPr>
                <w:rFonts w:hint="eastAsia"/>
                <w:b/>
                <w:bCs/>
                <w:szCs w:val="21"/>
              </w:rPr>
              <w:t>6</w:t>
            </w:r>
            <w:r>
              <w:rPr>
                <w:b/>
                <w:bCs/>
                <w:szCs w:val="21"/>
              </w:rPr>
              <w:t>、</w:t>
            </w:r>
            <w:r>
              <w:rPr>
                <w:b/>
                <w:bCs/>
                <w:spacing w:val="1"/>
                <w:szCs w:val="21"/>
              </w:rPr>
              <w:t>建立责任追究机制</w:t>
            </w:r>
            <w:bookmarkEnd w:id="13"/>
            <w:bookmarkEnd w:id="14"/>
          </w:p>
          <w:p w14:paraId="60262A02">
            <w:pPr>
              <w:ind w:firstLine="420" w:firstLineChars="200"/>
            </w:pPr>
            <w:r>
              <w:rPr>
                <w:szCs w:val="21"/>
              </w:rPr>
              <w:t>为避免发生水环境风险事故，必须建立健全科学的责任追究制度。如果发生水环境风险事故，必须按照相关制度进行责任追究，直至述诸法律追责。</w:t>
            </w:r>
          </w:p>
        </w:tc>
      </w:tr>
      <w:tr w14:paraId="22FD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945" w:type="dxa"/>
            <w:gridSpan w:val="7"/>
          </w:tcPr>
          <w:p w14:paraId="2BBD0CF6">
            <w:pPr>
              <w:pStyle w:val="10"/>
              <w:widowControl/>
              <w:snapToGrid w:val="0"/>
              <w:spacing w:line="360" w:lineRule="exact"/>
              <w:ind w:left="0"/>
              <w:jc w:val="both"/>
              <w:rPr>
                <w:rFonts w:hint="eastAsia"/>
                <w:lang w:eastAsia="zh-CN"/>
              </w:rPr>
            </w:pPr>
            <w:r>
              <w:rPr>
                <w:rFonts w:hint="eastAsia" w:ascii="Times New Roman" w:hAnsi="Times New Roman" w:eastAsia="宋体"/>
                <w:kern w:val="2"/>
                <w:sz w:val="21"/>
                <w:szCs w:val="22"/>
                <w:lang w:eastAsia="zh-CN"/>
              </w:rPr>
              <w:t>水生态环境保护措施：</w:t>
            </w:r>
          </w:p>
          <w:p w14:paraId="06D74066">
            <w:pPr>
              <w:pStyle w:val="10"/>
              <w:snapToGrid w:val="0"/>
              <w:spacing w:line="360" w:lineRule="exact"/>
              <w:ind w:left="0" w:firstLine="420" w:firstLineChars="200"/>
              <w:jc w:val="both"/>
              <w:rPr>
                <w:rFonts w:ascii="Times New Roman" w:hAnsi="Times New Roman" w:eastAsia="宋体"/>
                <w:kern w:val="2"/>
                <w:sz w:val="21"/>
                <w:szCs w:val="22"/>
                <w:lang w:eastAsia="zh-CN"/>
              </w:rPr>
            </w:pPr>
            <w:r>
              <w:rPr>
                <w:rFonts w:hint="eastAsia" w:ascii="Times New Roman" w:hAnsi="Times New Roman" w:eastAsia="宋体"/>
                <w:kern w:val="2"/>
                <w:sz w:val="21"/>
                <w:szCs w:val="22"/>
                <w:lang w:eastAsia="zh-CN"/>
              </w:rPr>
              <w:t>为减免该入河排污口设置带来的不利影响，入河排污口设置/使用过程中应当采取监测、巡查、预警等水生态环境保护措施，具体包括：</w:t>
            </w:r>
          </w:p>
          <w:p w14:paraId="65DE44F4">
            <w:pPr>
              <w:ind w:firstLine="422" w:firstLineChars="200"/>
              <w:rPr>
                <w:b/>
                <w:bCs/>
                <w:szCs w:val="21"/>
              </w:rPr>
            </w:pPr>
            <w:bookmarkStart w:id="15" w:name="_Toc28795"/>
            <w:bookmarkStart w:id="16" w:name="_Toc22695_WPSOffice_Level2"/>
            <w:r>
              <w:rPr>
                <w:b/>
                <w:bCs/>
                <w:szCs w:val="21"/>
              </w:rPr>
              <w:t>1、</w:t>
            </w:r>
            <w:bookmarkEnd w:id="15"/>
            <w:bookmarkEnd w:id="16"/>
            <w:r>
              <w:rPr>
                <w:b/>
                <w:bCs/>
                <w:szCs w:val="21"/>
              </w:rPr>
              <w:t>入河排污口规范化建设</w:t>
            </w:r>
          </w:p>
          <w:p w14:paraId="134B711E">
            <w:pPr>
              <w:ind w:firstLine="420" w:firstLineChars="200"/>
              <w:rPr>
                <w:szCs w:val="21"/>
              </w:rPr>
            </w:pPr>
            <w:r>
              <w:rPr>
                <w:szCs w:val="21"/>
              </w:rPr>
              <w:t>根据《入河入海排污口监督管理技术指南 入河排污口规范化建设》（HJ 1309-2023）文件要求，对排污口进行规范化建设。</w:t>
            </w:r>
          </w:p>
          <w:p w14:paraId="2B48B9E4">
            <w:pPr>
              <w:ind w:firstLine="420" w:firstLineChars="200"/>
              <w:rPr>
                <w:szCs w:val="21"/>
              </w:rPr>
            </w:pPr>
            <w:r>
              <w:rPr>
                <w:szCs w:val="21"/>
              </w:rPr>
              <w:t>①监测采样点设置</w:t>
            </w:r>
          </w:p>
          <w:p w14:paraId="5E4B4A23">
            <w:pPr>
              <w:ind w:firstLine="420" w:firstLineChars="200"/>
              <w:rPr>
                <w:szCs w:val="21"/>
              </w:rPr>
            </w:pPr>
            <w:r>
              <w:rPr>
                <w:szCs w:val="21"/>
              </w:rPr>
              <w:t>监测采样点设置在废水排放口，根据排污口入河方式和污水量大小，选择适宜的监测采样点设置形式。监测采样点设置应考虑实际采样的可行性和便利性。污水排放管道或渠道监测断面应为矩形、圆形、梯形等规则形状。测流段水流应平直、稳定、有一定水位高度。</w:t>
            </w:r>
          </w:p>
          <w:p w14:paraId="5D40738A">
            <w:pPr>
              <w:ind w:firstLine="420" w:firstLineChars="200"/>
              <w:rPr>
                <w:szCs w:val="21"/>
              </w:rPr>
            </w:pPr>
            <w:r>
              <w:rPr>
                <w:szCs w:val="21"/>
              </w:rPr>
              <w:t>②标识牌设置</w:t>
            </w:r>
          </w:p>
          <w:p w14:paraId="207AA8BC">
            <w:pPr>
              <w:ind w:firstLine="420" w:firstLineChars="200"/>
              <w:rPr>
                <w:szCs w:val="21"/>
              </w:rPr>
            </w:pPr>
            <w:r>
              <w:rPr>
                <w:szCs w:val="21"/>
              </w:rPr>
              <w:t>标识牌设置在污水入河处或监测采样点等位置，便于公众监督。</w:t>
            </w:r>
          </w:p>
          <w:p w14:paraId="6C5BDE06">
            <w:pPr>
              <w:ind w:firstLine="420" w:firstLineChars="200"/>
              <w:rPr>
                <w:szCs w:val="21"/>
              </w:rPr>
            </w:pPr>
            <w:r>
              <w:rPr>
                <w:szCs w:val="21"/>
              </w:rPr>
              <w:t>标识牌公示信息包含但不限于排污口名称、编码、类型、管理单位、责任主体、监督电话等，可根据实际需求采用文字或二维码等形式展示。标识牌可选用立柱式、平面式等。</w:t>
            </w:r>
          </w:p>
          <w:p w14:paraId="17BD516C">
            <w:pPr>
              <w:ind w:firstLine="420" w:firstLineChars="200"/>
              <w:rPr>
                <w:szCs w:val="21"/>
              </w:rPr>
            </w:pPr>
            <w:r>
              <w:rPr>
                <w:szCs w:val="21"/>
              </w:rPr>
              <w:t>标识牌应具有耐候、耐腐蚀等理化性能，保证一定的使用寿命。</w:t>
            </w:r>
          </w:p>
          <w:p w14:paraId="17804F9D">
            <w:pPr>
              <w:ind w:firstLine="420" w:firstLineChars="200"/>
              <w:rPr>
                <w:szCs w:val="21"/>
              </w:rPr>
            </w:pPr>
            <w:r>
              <w:rPr>
                <w:szCs w:val="21"/>
              </w:rPr>
              <w:t>标识牌公示信息发生变化的，责任主体应及时更新或更换标识牌。</w:t>
            </w:r>
          </w:p>
          <w:p w14:paraId="4D6BFF93">
            <w:pPr>
              <w:ind w:firstLine="422" w:firstLineChars="200"/>
              <w:rPr>
                <w:b/>
                <w:bCs/>
                <w:szCs w:val="21"/>
              </w:rPr>
            </w:pPr>
            <w:bookmarkStart w:id="17" w:name="_Toc4851"/>
            <w:bookmarkStart w:id="18" w:name="_Toc29447_WPSOffice_Level2"/>
            <w:r>
              <w:rPr>
                <w:b/>
                <w:bCs/>
                <w:szCs w:val="21"/>
              </w:rPr>
              <w:t>2、</w:t>
            </w:r>
            <w:bookmarkEnd w:id="17"/>
            <w:bookmarkEnd w:id="18"/>
            <w:r>
              <w:rPr>
                <w:b/>
                <w:bCs/>
                <w:szCs w:val="21"/>
              </w:rPr>
              <w:t>建立信息报送制度</w:t>
            </w:r>
          </w:p>
          <w:p w14:paraId="4BEE4822">
            <w:pPr>
              <w:ind w:firstLine="420" w:firstLineChars="200"/>
              <w:rPr>
                <w:szCs w:val="21"/>
              </w:rPr>
            </w:pPr>
            <w:r>
              <w:rPr>
                <w:szCs w:val="21"/>
              </w:rPr>
              <w:t>入河排污口设置单位定期向行政主管部门如实报送上一年度入河排污口有关情况的报表。行政主管部门每年按照规定的审批权限，对排污口开展监督性检查和年审工作，不定期组织排污口第三方监督性监测，并向上级行政主管部门报告排水水质、水量及污染物排放状况的统计报表。</w:t>
            </w:r>
          </w:p>
          <w:p w14:paraId="435FFE2D">
            <w:pPr>
              <w:ind w:firstLine="422" w:firstLineChars="200"/>
              <w:rPr>
                <w:b/>
                <w:bCs/>
                <w:szCs w:val="21"/>
              </w:rPr>
            </w:pPr>
            <w:bookmarkStart w:id="19" w:name="_Toc15332_WPSOffice_Level2"/>
            <w:bookmarkStart w:id="20" w:name="_Toc9878"/>
            <w:r>
              <w:rPr>
                <w:b/>
                <w:bCs/>
                <w:szCs w:val="21"/>
              </w:rPr>
              <w:t>3、</w:t>
            </w:r>
            <w:bookmarkEnd w:id="19"/>
            <w:bookmarkEnd w:id="20"/>
            <w:r>
              <w:rPr>
                <w:b/>
                <w:bCs/>
                <w:szCs w:val="21"/>
              </w:rPr>
              <w:t>河流枯水期保护措施</w:t>
            </w:r>
          </w:p>
          <w:p w14:paraId="58C7CB61">
            <w:pPr>
              <w:ind w:firstLine="420" w:firstLineChars="200"/>
              <w:rPr>
                <w:szCs w:val="21"/>
              </w:rPr>
            </w:pPr>
            <w:r>
              <w:rPr>
                <w:szCs w:val="21"/>
              </w:rPr>
              <w:t>纳污河段枯水期流量较小，因此在枯水期本项目更应加强出水水质的监管，尽量通过污水处理系统降低水污染物的排放浓度，进而减轻对河流水质和生态的影响。</w:t>
            </w:r>
          </w:p>
          <w:p w14:paraId="64BA3ADD">
            <w:pPr>
              <w:ind w:firstLine="420" w:firstLineChars="200"/>
            </w:pPr>
            <w:r>
              <w:rPr>
                <w:szCs w:val="21"/>
              </w:rPr>
              <w:t>本项目污水处理厂可根据进水情况，适当增加水力停留时间，以提高污染物处理效率，减少污染物排放量，使出水在达标的基础上，进一步降低污染物排放浓度</w:t>
            </w:r>
            <w:r>
              <w:rPr>
                <w:rFonts w:hint="eastAsia"/>
                <w:szCs w:val="21"/>
              </w:rPr>
              <w:t>。</w:t>
            </w:r>
          </w:p>
        </w:tc>
      </w:tr>
      <w:tr w14:paraId="0B81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945" w:type="dxa"/>
            <w:gridSpan w:val="7"/>
          </w:tcPr>
          <w:p w14:paraId="75380442">
            <w:pPr>
              <w:pStyle w:val="10"/>
              <w:snapToGrid w:val="0"/>
              <w:spacing w:before="0" w:line="360" w:lineRule="exact"/>
              <w:ind w:left="0"/>
              <w:jc w:val="both"/>
              <w:rPr>
                <w:rFonts w:hint="eastAsia"/>
                <w:lang w:eastAsia="zh-CN"/>
              </w:rPr>
            </w:pPr>
            <w:r>
              <w:rPr>
                <w:rFonts w:hint="eastAsia" w:ascii="Times New Roman" w:hAnsi="Times New Roman" w:eastAsia="宋体"/>
                <w:kern w:val="2"/>
                <w:sz w:val="21"/>
                <w:szCs w:val="22"/>
                <w:lang w:eastAsia="zh-CN"/>
              </w:rPr>
              <w:t>放射性物质管控措施（仅排放放射性物质的入河排污口需要记载）：</w:t>
            </w:r>
          </w:p>
          <w:p w14:paraId="02B5119E">
            <w:pPr>
              <w:widowControl/>
              <w:snapToGrid w:val="0"/>
              <w:spacing w:line="360" w:lineRule="exact"/>
              <w:rPr>
                <w:szCs w:val="20"/>
              </w:rPr>
            </w:pPr>
          </w:p>
        </w:tc>
      </w:tr>
      <w:tr w14:paraId="5AC6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5" w:type="dxa"/>
            <w:gridSpan w:val="7"/>
          </w:tcPr>
          <w:p w14:paraId="53A74A90">
            <w:pPr>
              <w:widowControl/>
              <w:snapToGrid w:val="0"/>
              <w:spacing w:line="360" w:lineRule="exact"/>
              <w:rPr>
                <w:kern w:val="0"/>
                <w:szCs w:val="21"/>
              </w:rPr>
            </w:pPr>
            <w:r>
              <w:rPr>
                <w:rFonts w:hint="eastAsia"/>
                <w:kern w:val="0"/>
                <w:szCs w:val="21"/>
              </w:rPr>
              <w:t>其他需要注意的事项：</w:t>
            </w:r>
          </w:p>
          <w:p w14:paraId="09AA7155">
            <w:pPr>
              <w:pStyle w:val="10"/>
              <w:widowControl/>
              <w:snapToGrid w:val="0"/>
              <w:spacing w:line="360" w:lineRule="exact"/>
              <w:ind w:left="0" w:firstLine="420" w:firstLineChars="200"/>
            </w:pPr>
            <w:r>
              <w:rPr>
                <w:rFonts w:hint="eastAsia" w:ascii="Times New Roman" w:hAnsi="Times New Roman" w:eastAsia="宋体"/>
                <w:kern w:val="2"/>
                <w:sz w:val="21"/>
                <w:szCs w:val="22"/>
                <w:lang w:eastAsia="zh-CN"/>
              </w:rPr>
              <w:t>在满足污染排放要求基础上，应符合相关部门对供水、堤防安全和河势稳定等问题的保护措施要求。</w:t>
            </w:r>
          </w:p>
        </w:tc>
      </w:tr>
    </w:tbl>
    <w:p w14:paraId="2B1C8202">
      <w:pPr>
        <w:adjustRightInd w:val="0"/>
        <w:spacing w:line="360" w:lineRule="exact"/>
        <w:jc w:val="center"/>
        <w:rPr>
          <w:rFonts w:hint="eastAsia" w:ascii="宋体" w:hAnsi="宋体"/>
          <w:spacing w:val="-5"/>
          <w:szCs w:val="21"/>
        </w:rPr>
      </w:pPr>
      <w:r>
        <w:rPr>
          <w:rFonts w:hint="eastAsia" w:ascii="宋体" w:hAnsi="宋体"/>
          <w:spacing w:val="-5"/>
          <w:szCs w:val="21"/>
        </w:rPr>
        <w:t xml:space="preserve">                                                                     铁岭市生态环境局</w:t>
      </w:r>
    </w:p>
    <w:p w14:paraId="75F14AF6">
      <w:pPr>
        <w:pStyle w:val="10"/>
        <w:spacing w:before="0" w:line="360" w:lineRule="exact"/>
        <w:jc w:val="right"/>
        <w:rPr>
          <w:highlight w:val="none"/>
        </w:rPr>
      </w:pPr>
      <w:r>
        <w:rPr>
          <w:rFonts w:hint="eastAsia" w:ascii="宋体" w:hAnsi="宋体" w:eastAsia="宋体"/>
          <w:sz w:val="21"/>
          <w:szCs w:val="21"/>
          <w:highlight w:val="none"/>
          <w:lang w:eastAsia="zh-CN"/>
        </w:rPr>
        <w:t>2025</w:t>
      </w:r>
      <w:r>
        <w:rPr>
          <w:rFonts w:ascii="宋体" w:hAnsi="宋体" w:eastAsia="宋体"/>
          <w:sz w:val="21"/>
          <w:szCs w:val="21"/>
          <w:highlight w:val="none"/>
          <w:lang w:eastAsia="zh-CN"/>
        </w:rPr>
        <w:t xml:space="preserve">年 </w:t>
      </w:r>
      <w:r>
        <w:rPr>
          <w:rFonts w:hint="eastAsia" w:ascii="宋体" w:hAnsi="宋体" w:eastAsia="宋体"/>
          <w:sz w:val="21"/>
          <w:szCs w:val="21"/>
          <w:highlight w:val="none"/>
          <w:lang w:val="en-US" w:eastAsia="zh-CN"/>
        </w:rPr>
        <w:t>9</w:t>
      </w:r>
      <w:r>
        <w:rPr>
          <w:rFonts w:ascii="宋体" w:hAnsi="宋体" w:eastAsia="宋体"/>
          <w:sz w:val="21"/>
          <w:szCs w:val="21"/>
          <w:highlight w:val="none"/>
          <w:lang w:eastAsia="zh-CN"/>
        </w:rPr>
        <w:t>月</w:t>
      </w:r>
      <w:r>
        <w:rPr>
          <w:rFonts w:hint="eastAsia" w:ascii="宋体" w:hAnsi="宋体" w:eastAsia="宋体"/>
          <w:sz w:val="21"/>
          <w:szCs w:val="21"/>
          <w:highlight w:val="none"/>
          <w:lang w:val="en-US" w:eastAsia="zh-CN"/>
        </w:rPr>
        <w:t>3</w:t>
      </w:r>
      <w:r>
        <w:rPr>
          <w:rFonts w:ascii="宋体" w:hAnsi="宋体" w:eastAsia="宋体"/>
          <w:sz w:val="21"/>
          <w:szCs w:val="21"/>
          <w:highlight w:val="none"/>
          <w:lang w:eastAsia="zh-CN"/>
        </w:rPr>
        <w:t>日</w:t>
      </w:r>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50AA537-FD28-4EB3-882F-46FE0F98960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BBF15A51-D778-41B4-9563-38F87B111499}"/>
  </w:font>
  <w:font w:name="Calibri Light">
    <w:panose1 w:val="020F03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3" w:fontKey="{21D25764-985F-4D01-B560-2D19A102D73C}"/>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1B06E">
    <w:pPr>
      <w:pStyle w:val="19"/>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w:t>
    </w:r>
    <w:r>
      <w:rPr>
        <w:rFonts w:ascii="Times New Roman" w:hAnsi="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38341F"/>
    <w:rsid w:val="0000087D"/>
    <w:rsid w:val="00001675"/>
    <w:rsid w:val="00001952"/>
    <w:rsid w:val="0000195F"/>
    <w:rsid w:val="00002CED"/>
    <w:rsid w:val="0000760B"/>
    <w:rsid w:val="00007B9B"/>
    <w:rsid w:val="000108A6"/>
    <w:rsid w:val="000109D1"/>
    <w:rsid w:val="000164CA"/>
    <w:rsid w:val="00020106"/>
    <w:rsid w:val="000202CC"/>
    <w:rsid w:val="00022605"/>
    <w:rsid w:val="000239FA"/>
    <w:rsid w:val="00023C73"/>
    <w:rsid w:val="0002462E"/>
    <w:rsid w:val="00035945"/>
    <w:rsid w:val="00035FFB"/>
    <w:rsid w:val="00037BFE"/>
    <w:rsid w:val="0004104C"/>
    <w:rsid w:val="000456B0"/>
    <w:rsid w:val="00046312"/>
    <w:rsid w:val="00046E4B"/>
    <w:rsid w:val="00047D45"/>
    <w:rsid w:val="00050910"/>
    <w:rsid w:val="000570AD"/>
    <w:rsid w:val="00063D4A"/>
    <w:rsid w:val="00063E24"/>
    <w:rsid w:val="0006431B"/>
    <w:rsid w:val="000645F7"/>
    <w:rsid w:val="00064A23"/>
    <w:rsid w:val="00064CAD"/>
    <w:rsid w:val="0006547C"/>
    <w:rsid w:val="0006554D"/>
    <w:rsid w:val="00065E55"/>
    <w:rsid w:val="00066683"/>
    <w:rsid w:val="00070107"/>
    <w:rsid w:val="000723AC"/>
    <w:rsid w:val="0007329A"/>
    <w:rsid w:val="00073D84"/>
    <w:rsid w:val="000740BE"/>
    <w:rsid w:val="00074339"/>
    <w:rsid w:val="00077111"/>
    <w:rsid w:val="0008043C"/>
    <w:rsid w:val="00080A7A"/>
    <w:rsid w:val="0008229B"/>
    <w:rsid w:val="0008339B"/>
    <w:rsid w:val="000858B7"/>
    <w:rsid w:val="00086EB7"/>
    <w:rsid w:val="00090BB4"/>
    <w:rsid w:val="00090E8B"/>
    <w:rsid w:val="00092BC3"/>
    <w:rsid w:val="00092EC9"/>
    <w:rsid w:val="000932E5"/>
    <w:rsid w:val="00094CFE"/>
    <w:rsid w:val="00097E60"/>
    <w:rsid w:val="000A0354"/>
    <w:rsid w:val="000A1116"/>
    <w:rsid w:val="000A1941"/>
    <w:rsid w:val="000A20D5"/>
    <w:rsid w:val="000A3B18"/>
    <w:rsid w:val="000A56C5"/>
    <w:rsid w:val="000A733F"/>
    <w:rsid w:val="000B0B10"/>
    <w:rsid w:val="000B0E1D"/>
    <w:rsid w:val="000B40EB"/>
    <w:rsid w:val="000B425F"/>
    <w:rsid w:val="000B7D37"/>
    <w:rsid w:val="000C0EBD"/>
    <w:rsid w:val="000C2596"/>
    <w:rsid w:val="000C73F5"/>
    <w:rsid w:val="000C791B"/>
    <w:rsid w:val="000D41A9"/>
    <w:rsid w:val="000D4844"/>
    <w:rsid w:val="000D495D"/>
    <w:rsid w:val="000D58F0"/>
    <w:rsid w:val="000E5431"/>
    <w:rsid w:val="000E7069"/>
    <w:rsid w:val="000E7359"/>
    <w:rsid w:val="000F02C4"/>
    <w:rsid w:val="000F26D3"/>
    <w:rsid w:val="000F3966"/>
    <w:rsid w:val="000F7896"/>
    <w:rsid w:val="00101518"/>
    <w:rsid w:val="00101B39"/>
    <w:rsid w:val="0010200D"/>
    <w:rsid w:val="00104A25"/>
    <w:rsid w:val="0010562D"/>
    <w:rsid w:val="00107D19"/>
    <w:rsid w:val="0011040C"/>
    <w:rsid w:val="001118E4"/>
    <w:rsid w:val="0011258B"/>
    <w:rsid w:val="00112A3D"/>
    <w:rsid w:val="00113B5C"/>
    <w:rsid w:val="00114248"/>
    <w:rsid w:val="00117437"/>
    <w:rsid w:val="001204E7"/>
    <w:rsid w:val="00121ACC"/>
    <w:rsid w:val="00121E71"/>
    <w:rsid w:val="00124930"/>
    <w:rsid w:val="00124ACC"/>
    <w:rsid w:val="0012668D"/>
    <w:rsid w:val="0013017A"/>
    <w:rsid w:val="001337C1"/>
    <w:rsid w:val="00133D16"/>
    <w:rsid w:val="00135B59"/>
    <w:rsid w:val="00136F71"/>
    <w:rsid w:val="001379DD"/>
    <w:rsid w:val="001465EE"/>
    <w:rsid w:val="001475F0"/>
    <w:rsid w:val="001530DA"/>
    <w:rsid w:val="00155CC2"/>
    <w:rsid w:val="00161646"/>
    <w:rsid w:val="001617D1"/>
    <w:rsid w:val="0016258F"/>
    <w:rsid w:val="00165903"/>
    <w:rsid w:val="0016591E"/>
    <w:rsid w:val="0016634A"/>
    <w:rsid w:val="001706F9"/>
    <w:rsid w:val="00172935"/>
    <w:rsid w:val="001738F6"/>
    <w:rsid w:val="001747DF"/>
    <w:rsid w:val="001756FC"/>
    <w:rsid w:val="0017599F"/>
    <w:rsid w:val="00176AE0"/>
    <w:rsid w:val="001846D2"/>
    <w:rsid w:val="00185FC4"/>
    <w:rsid w:val="001869E6"/>
    <w:rsid w:val="00186EAB"/>
    <w:rsid w:val="0018774A"/>
    <w:rsid w:val="001910F2"/>
    <w:rsid w:val="00194E86"/>
    <w:rsid w:val="0019643E"/>
    <w:rsid w:val="00196F52"/>
    <w:rsid w:val="00197E26"/>
    <w:rsid w:val="001A121D"/>
    <w:rsid w:val="001A345E"/>
    <w:rsid w:val="001A4341"/>
    <w:rsid w:val="001A7CAD"/>
    <w:rsid w:val="001B06D3"/>
    <w:rsid w:val="001B16F3"/>
    <w:rsid w:val="001B19DA"/>
    <w:rsid w:val="001B3822"/>
    <w:rsid w:val="001B3895"/>
    <w:rsid w:val="001B4E2E"/>
    <w:rsid w:val="001B6759"/>
    <w:rsid w:val="001C0C40"/>
    <w:rsid w:val="001C11A8"/>
    <w:rsid w:val="001C3598"/>
    <w:rsid w:val="001C4378"/>
    <w:rsid w:val="001C4996"/>
    <w:rsid w:val="001D7408"/>
    <w:rsid w:val="001E0C56"/>
    <w:rsid w:val="001E0F0D"/>
    <w:rsid w:val="001E1682"/>
    <w:rsid w:val="001E33D5"/>
    <w:rsid w:val="001E423E"/>
    <w:rsid w:val="001E4525"/>
    <w:rsid w:val="001E51FF"/>
    <w:rsid w:val="001E5930"/>
    <w:rsid w:val="001E5AC3"/>
    <w:rsid w:val="001E6119"/>
    <w:rsid w:val="001E69A9"/>
    <w:rsid w:val="001E7DBD"/>
    <w:rsid w:val="001F0ABE"/>
    <w:rsid w:val="001F3CDD"/>
    <w:rsid w:val="001F64CC"/>
    <w:rsid w:val="00200BAD"/>
    <w:rsid w:val="00202D2D"/>
    <w:rsid w:val="002046C7"/>
    <w:rsid w:val="00205C15"/>
    <w:rsid w:val="0020792F"/>
    <w:rsid w:val="00207BBA"/>
    <w:rsid w:val="002142C6"/>
    <w:rsid w:val="00215BA6"/>
    <w:rsid w:val="0021633A"/>
    <w:rsid w:val="002166E9"/>
    <w:rsid w:val="00216979"/>
    <w:rsid w:val="00221401"/>
    <w:rsid w:val="00221ED8"/>
    <w:rsid w:val="002275BA"/>
    <w:rsid w:val="00240BB8"/>
    <w:rsid w:val="00241E5C"/>
    <w:rsid w:val="002440AF"/>
    <w:rsid w:val="0024491D"/>
    <w:rsid w:val="00245271"/>
    <w:rsid w:val="00250A81"/>
    <w:rsid w:val="00252887"/>
    <w:rsid w:val="00252DB6"/>
    <w:rsid w:val="00252E11"/>
    <w:rsid w:val="0025417B"/>
    <w:rsid w:val="00254A8A"/>
    <w:rsid w:val="002560E1"/>
    <w:rsid w:val="00260E77"/>
    <w:rsid w:val="00261F96"/>
    <w:rsid w:val="00263429"/>
    <w:rsid w:val="00263DAB"/>
    <w:rsid w:val="00265E81"/>
    <w:rsid w:val="0026629F"/>
    <w:rsid w:val="002720AC"/>
    <w:rsid w:val="002729C9"/>
    <w:rsid w:val="002760DC"/>
    <w:rsid w:val="00281052"/>
    <w:rsid w:val="00283468"/>
    <w:rsid w:val="00283760"/>
    <w:rsid w:val="00283EBA"/>
    <w:rsid w:val="002866DD"/>
    <w:rsid w:val="00286E7F"/>
    <w:rsid w:val="00287117"/>
    <w:rsid w:val="0028741D"/>
    <w:rsid w:val="00291725"/>
    <w:rsid w:val="00293D1F"/>
    <w:rsid w:val="00296A25"/>
    <w:rsid w:val="002A0BD4"/>
    <w:rsid w:val="002A0D7C"/>
    <w:rsid w:val="002A2B10"/>
    <w:rsid w:val="002A333C"/>
    <w:rsid w:val="002A450B"/>
    <w:rsid w:val="002A71DC"/>
    <w:rsid w:val="002A78C9"/>
    <w:rsid w:val="002B3786"/>
    <w:rsid w:val="002B3AF7"/>
    <w:rsid w:val="002B3D72"/>
    <w:rsid w:val="002B4266"/>
    <w:rsid w:val="002B428C"/>
    <w:rsid w:val="002B504F"/>
    <w:rsid w:val="002B6A3F"/>
    <w:rsid w:val="002B6C1E"/>
    <w:rsid w:val="002C0E44"/>
    <w:rsid w:val="002C3BC2"/>
    <w:rsid w:val="002C4E8E"/>
    <w:rsid w:val="002C566B"/>
    <w:rsid w:val="002C6011"/>
    <w:rsid w:val="002C7675"/>
    <w:rsid w:val="002D0D95"/>
    <w:rsid w:val="002D0EE1"/>
    <w:rsid w:val="002D26A4"/>
    <w:rsid w:val="002D334A"/>
    <w:rsid w:val="002D6A22"/>
    <w:rsid w:val="002E140C"/>
    <w:rsid w:val="002E261C"/>
    <w:rsid w:val="002E44FB"/>
    <w:rsid w:val="002E49BF"/>
    <w:rsid w:val="002E4F48"/>
    <w:rsid w:val="002E5E8D"/>
    <w:rsid w:val="002E7128"/>
    <w:rsid w:val="002E7C5B"/>
    <w:rsid w:val="002F0631"/>
    <w:rsid w:val="002F1EA0"/>
    <w:rsid w:val="002F2977"/>
    <w:rsid w:val="002F4D2C"/>
    <w:rsid w:val="002F64AA"/>
    <w:rsid w:val="002F7747"/>
    <w:rsid w:val="0030231A"/>
    <w:rsid w:val="00302E90"/>
    <w:rsid w:val="00303E42"/>
    <w:rsid w:val="00304841"/>
    <w:rsid w:val="0030643F"/>
    <w:rsid w:val="0030672F"/>
    <w:rsid w:val="003101FE"/>
    <w:rsid w:val="003129CD"/>
    <w:rsid w:val="00312C55"/>
    <w:rsid w:val="003131E9"/>
    <w:rsid w:val="0031412E"/>
    <w:rsid w:val="0032054E"/>
    <w:rsid w:val="00322539"/>
    <w:rsid w:val="00322832"/>
    <w:rsid w:val="003236E1"/>
    <w:rsid w:val="0032699C"/>
    <w:rsid w:val="00331B23"/>
    <w:rsid w:val="00334BC1"/>
    <w:rsid w:val="00336C9D"/>
    <w:rsid w:val="00336E50"/>
    <w:rsid w:val="00340E6A"/>
    <w:rsid w:val="00343D4E"/>
    <w:rsid w:val="0034470C"/>
    <w:rsid w:val="00351A87"/>
    <w:rsid w:val="0035555E"/>
    <w:rsid w:val="0035575C"/>
    <w:rsid w:val="00355F29"/>
    <w:rsid w:val="0035771E"/>
    <w:rsid w:val="0036081A"/>
    <w:rsid w:val="00360B20"/>
    <w:rsid w:val="003618E5"/>
    <w:rsid w:val="00362A37"/>
    <w:rsid w:val="00363FB4"/>
    <w:rsid w:val="00364F57"/>
    <w:rsid w:val="00367C4C"/>
    <w:rsid w:val="00367C63"/>
    <w:rsid w:val="0037038D"/>
    <w:rsid w:val="0037504B"/>
    <w:rsid w:val="00375B1D"/>
    <w:rsid w:val="003775BE"/>
    <w:rsid w:val="00380165"/>
    <w:rsid w:val="00381C3C"/>
    <w:rsid w:val="0038341F"/>
    <w:rsid w:val="00384D63"/>
    <w:rsid w:val="00385A34"/>
    <w:rsid w:val="00387CD0"/>
    <w:rsid w:val="00391BCB"/>
    <w:rsid w:val="003A08BE"/>
    <w:rsid w:val="003A3194"/>
    <w:rsid w:val="003A3725"/>
    <w:rsid w:val="003A4889"/>
    <w:rsid w:val="003A4E0E"/>
    <w:rsid w:val="003A6E56"/>
    <w:rsid w:val="003B36F9"/>
    <w:rsid w:val="003B49AF"/>
    <w:rsid w:val="003C12E5"/>
    <w:rsid w:val="003C3349"/>
    <w:rsid w:val="003C33DA"/>
    <w:rsid w:val="003C3C91"/>
    <w:rsid w:val="003C4306"/>
    <w:rsid w:val="003C6694"/>
    <w:rsid w:val="003C7166"/>
    <w:rsid w:val="003D0C09"/>
    <w:rsid w:val="003D0EB2"/>
    <w:rsid w:val="003D212E"/>
    <w:rsid w:val="003D25C1"/>
    <w:rsid w:val="003D2709"/>
    <w:rsid w:val="003D2BDC"/>
    <w:rsid w:val="003D7BE2"/>
    <w:rsid w:val="003E0873"/>
    <w:rsid w:val="003E1632"/>
    <w:rsid w:val="003E23CE"/>
    <w:rsid w:val="003E3BF6"/>
    <w:rsid w:val="003E782B"/>
    <w:rsid w:val="003F0170"/>
    <w:rsid w:val="003F0B35"/>
    <w:rsid w:val="003F1FF6"/>
    <w:rsid w:val="003F2470"/>
    <w:rsid w:val="003F354B"/>
    <w:rsid w:val="003F703E"/>
    <w:rsid w:val="004039B0"/>
    <w:rsid w:val="00403F75"/>
    <w:rsid w:val="00404C8B"/>
    <w:rsid w:val="00405C72"/>
    <w:rsid w:val="004061F0"/>
    <w:rsid w:val="00412D84"/>
    <w:rsid w:val="0041413F"/>
    <w:rsid w:val="00415FB1"/>
    <w:rsid w:val="00420254"/>
    <w:rsid w:val="00420643"/>
    <w:rsid w:val="00421223"/>
    <w:rsid w:val="00426522"/>
    <w:rsid w:val="00427B23"/>
    <w:rsid w:val="00427DB6"/>
    <w:rsid w:val="00431F4C"/>
    <w:rsid w:val="00432544"/>
    <w:rsid w:val="0043503B"/>
    <w:rsid w:val="00436D41"/>
    <w:rsid w:val="00437C83"/>
    <w:rsid w:val="0044276B"/>
    <w:rsid w:val="0045169E"/>
    <w:rsid w:val="00451B6E"/>
    <w:rsid w:val="00452C50"/>
    <w:rsid w:val="004568AA"/>
    <w:rsid w:val="0046249D"/>
    <w:rsid w:val="00467CB5"/>
    <w:rsid w:val="00470C57"/>
    <w:rsid w:val="0047384B"/>
    <w:rsid w:val="0048241E"/>
    <w:rsid w:val="0048329A"/>
    <w:rsid w:val="00483821"/>
    <w:rsid w:val="004838DD"/>
    <w:rsid w:val="004854E3"/>
    <w:rsid w:val="00486E3D"/>
    <w:rsid w:val="00487115"/>
    <w:rsid w:val="004873F0"/>
    <w:rsid w:val="00487C57"/>
    <w:rsid w:val="00491427"/>
    <w:rsid w:val="004943AF"/>
    <w:rsid w:val="00494DBF"/>
    <w:rsid w:val="0049551C"/>
    <w:rsid w:val="004975E1"/>
    <w:rsid w:val="004A35A1"/>
    <w:rsid w:val="004A473E"/>
    <w:rsid w:val="004B0325"/>
    <w:rsid w:val="004B046F"/>
    <w:rsid w:val="004B0DA1"/>
    <w:rsid w:val="004B1BEC"/>
    <w:rsid w:val="004B3356"/>
    <w:rsid w:val="004B62C0"/>
    <w:rsid w:val="004B6DBB"/>
    <w:rsid w:val="004C139F"/>
    <w:rsid w:val="004C1C8A"/>
    <w:rsid w:val="004C2F7F"/>
    <w:rsid w:val="004C3477"/>
    <w:rsid w:val="004C3A70"/>
    <w:rsid w:val="004C41D9"/>
    <w:rsid w:val="004C4AA8"/>
    <w:rsid w:val="004C7F39"/>
    <w:rsid w:val="004D10CE"/>
    <w:rsid w:val="004D414C"/>
    <w:rsid w:val="004D51BF"/>
    <w:rsid w:val="004D6708"/>
    <w:rsid w:val="004D7D9C"/>
    <w:rsid w:val="004E4264"/>
    <w:rsid w:val="004E4753"/>
    <w:rsid w:val="004E552E"/>
    <w:rsid w:val="004E604F"/>
    <w:rsid w:val="004E75F0"/>
    <w:rsid w:val="004F1141"/>
    <w:rsid w:val="004F1D65"/>
    <w:rsid w:val="004F1DED"/>
    <w:rsid w:val="004F272E"/>
    <w:rsid w:val="004F2C5A"/>
    <w:rsid w:val="004F5060"/>
    <w:rsid w:val="004F5743"/>
    <w:rsid w:val="00501A68"/>
    <w:rsid w:val="00502304"/>
    <w:rsid w:val="00502E05"/>
    <w:rsid w:val="00503232"/>
    <w:rsid w:val="0050480C"/>
    <w:rsid w:val="005048A0"/>
    <w:rsid w:val="00506374"/>
    <w:rsid w:val="005064D4"/>
    <w:rsid w:val="00512CB5"/>
    <w:rsid w:val="00512FB5"/>
    <w:rsid w:val="00513278"/>
    <w:rsid w:val="0051342E"/>
    <w:rsid w:val="00515151"/>
    <w:rsid w:val="00515D0F"/>
    <w:rsid w:val="005165B4"/>
    <w:rsid w:val="00516846"/>
    <w:rsid w:val="005175EC"/>
    <w:rsid w:val="00522566"/>
    <w:rsid w:val="00522964"/>
    <w:rsid w:val="005248A0"/>
    <w:rsid w:val="005261A0"/>
    <w:rsid w:val="0052741E"/>
    <w:rsid w:val="00527FD0"/>
    <w:rsid w:val="00531553"/>
    <w:rsid w:val="0053177F"/>
    <w:rsid w:val="005317EF"/>
    <w:rsid w:val="005344C5"/>
    <w:rsid w:val="00536D37"/>
    <w:rsid w:val="00545446"/>
    <w:rsid w:val="00556694"/>
    <w:rsid w:val="00556811"/>
    <w:rsid w:val="005629B5"/>
    <w:rsid w:val="00565360"/>
    <w:rsid w:val="00565DB2"/>
    <w:rsid w:val="00565DC1"/>
    <w:rsid w:val="00565F1F"/>
    <w:rsid w:val="00575BA7"/>
    <w:rsid w:val="00575CBA"/>
    <w:rsid w:val="00577E0D"/>
    <w:rsid w:val="00580F5D"/>
    <w:rsid w:val="00581FE4"/>
    <w:rsid w:val="005848FD"/>
    <w:rsid w:val="00585A68"/>
    <w:rsid w:val="00585A79"/>
    <w:rsid w:val="00586350"/>
    <w:rsid w:val="00590C1A"/>
    <w:rsid w:val="005939F0"/>
    <w:rsid w:val="0059521B"/>
    <w:rsid w:val="0059545E"/>
    <w:rsid w:val="005977DF"/>
    <w:rsid w:val="005979E1"/>
    <w:rsid w:val="005A0344"/>
    <w:rsid w:val="005A0AD8"/>
    <w:rsid w:val="005A1106"/>
    <w:rsid w:val="005A2C07"/>
    <w:rsid w:val="005A3018"/>
    <w:rsid w:val="005A4797"/>
    <w:rsid w:val="005A6072"/>
    <w:rsid w:val="005B13E2"/>
    <w:rsid w:val="005B2623"/>
    <w:rsid w:val="005B4CF4"/>
    <w:rsid w:val="005B5EAC"/>
    <w:rsid w:val="005B7CAE"/>
    <w:rsid w:val="005C186A"/>
    <w:rsid w:val="005C61AB"/>
    <w:rsid w:val="005D2BC7"/>
    <w:rsid w:val="005D4A41"/>
    <w:rsid w:val="005D5D6F"/>
    <w:rsid w:val="005E05CC"/>
    <w:rsid w:val="005E0825"/>
    <w:rsid w:val="005E2F1C"/>
    <w:rsid w:val="005E3112"/>
    <w:rsid w:val="005E37BD"/>
    <w:rsid w:val="005E44FC"/>
    <w:rsid w:val="005E5FB5"/>
    <w:rsid w:val="005F409E"/>
    <w:rsid w:val="005F476E"/>
    <w:rsid w:val="005F583A"/>
    <w:rsid w:val="00600AA2"/>
    <w:rsid w:val="006016BB"/>
    <w:rsid w:val="00601FA7"/>
    <w:rsid w:val="00602B05"/>
    <w:rsid w:val="00610FA0"/>
    <w:rsid w:val="00617AB8"/>
    <w:rsid w:val="0062091B"/>
    <w:rsid w:val="006209C1"/>
    <w:rsid w:val="00621F25"/>
    <w:rsid w:val="006235AE"/>
    <w:rsid w:val="006252E8"/>
    <w:rsid w:val="00625B58"/>
    <w:rsid w:val="00626B2B"/>
    <w:rsid w:val="00630072"/>
    <w:rsid w:val="00630747"/>
    <w:rsid w:val="00630A0B"/>
    <w:rsid w:val="00631211"/>
    <w:rsid w:val="006318C1"/>
    <w:rsid w:val="00632B25"/>
    <w:rsid w:val="00633C28"/>
    <w:rsid w:val="006354CE"/>
    <w:rsid w:val="00635CC0"/>
    <w:rsid w:val="00641767"/>
    <w:rsid w:val="00650CC9"/>
    <w:rsid w:val="00651493"/>
    <w:rsid w:val="00654D2B"/>
    <w:rsid w:val="006556B8"/>
    <w:rsid w:val="00661163"/>
    <w:rsid w:val="00663C16"/>
    <w:rsid w:val="006664CC"/>
    <w:rsid w:val="00666A26"/>
    <w:rsid w:val="00671B17"/>
    <w:rsid w:val="00671B54"/>
    <w:rsid w:val="00674F36"/>
    <w:rsid w:val="00675364"/>
    <w:rsid w:val="00681722"/>
    <w:rsid w:val="00685F31"/>
    <w:rsid w:val="00687220"/>
    <w:rsid w:val="00691AFF"/>
    <w:rsid w:val="00691C9C"/>
    <w:rsid w:val="006924A9"/>
    <w:rsid w:val="0069343A"/>
    <w:rsid w:val="00695636"/>
    <w:rsid w:val="006A29ED"/>
    <w:rsid w:val="006A5529"/>
    <w:rsid w:val="006A6597"/>
    <w:rsid w:val="006A7A20"/>
    <w:rsid w:val="006B1369"/>
    <w:rsid w:val="006B3104"/>
    <w:rsid w:val="006B40AA"/>
    <w:rsid w:val="006B52F2"/>
    <w:rsid w:val="006B6371"/>
    <w:rsid w:val="006B70E1"/>
    <w:rsid w:val="006C2B41"/>
    <w:rsid w:val="006C4EA6"/>
    <w:rsid w:val="006C5753"/>
    <w:rsid w:val="006C676B"/>
    <w:rsid w:val="006C7605"/>
    <w:rsid w:val="006C760F"/>
    <w:rsid w:val="006D0B66"/>
    <w:rsid w:val="006D2EE6"/>
    <w:rsid w:val="006D3216"/>
    <w:rsid w:val="006D3A3E"/>
    <w:rsid w:val="006D41EF"/>
    <w:rsid w:val="006E528D"/>
    <w:rsid w:val="006E5854"/>
    <w:rsid w:val="006F1283"/>
    <w:rsid w:val="006F391C"/>
    <w:rsid w:val="006F396B"/>
    <w:rsid w:val="006F6687"/>
    <w:rsid w:val="006F6BD3"/>
    <w:rsid w:val="00700267"/>
    <w:rsid w:val="00700C9F"/>
    <w:rsid w:val="00700D86"/>
    <w:rsid w:val="00702180"/>
    <w:rsid w:val="00703AB2"/>
    <w:rsid w:val="00703AE1"/>
    <w:rsid w:val="007063A1"/>
    <w:rsid w:val="00706D96"/>
    <w:rsid w:val="0070776F"/>
    <w:rsid w:val="00707B44"/>
    <w:rsid w:val="00712F4C"/>
    <w:rsid w:val="007172B9"/>
    <w:rsid w:val="00720CF2"/>
    <w:rsid w:val="007242CF"/>
    <w:rsid w:val="00724474"/>
    <w:rsid w:val="007302CF"/>
    <w:rsid w:val="00731C5B"/>
    <w:rsid w:val="007327F7"/>
    <w:rsid w:val="00733B84"/>
    <w:rsid w:val="00734CF6"/>
    <w:rsid w:val="00736435"/>
    <w:rsid w:val="0074032F"/>
    <w:rsid w:val="0074090D"/>
    <w:rsid w:val="00741440"/>
    <w:rsid w:val="00741F63"/>
    <w:rsid w:val="007421E3"/>
    <w:rsid w:val="007425FB"/>
    <w:rsid w:val="007446B3"/>
    <w:rsid w:val="00745C4C"/>
    <w:rsid w:val="00747C20"/>
    <w:rsid w:val="0075228B"/>
    <w:rsid w:val="0075606F"/>
    <w:rsid w:val="00757CD0"/>
    <w:rsid w:val="007608D4"/>
    <w:rsid w:val="00760C55"/>
    <w:rsid w:val="00760CCC"/>
    <w:rsid w:val="007631DE"/>
    <w:rsid w:val="00765780"/>
    <w:rsid w:val="00770D7C"/>
    <w:rsid w:val="00770FD2"/>
    <w:rsid w:val="00771C76"/>
    <w:rsid w:val="00772437"/>
    <w:rsid w:val="00774259"/>
    <w:rsid w:val="00775D1C"/>
    <w:rsid w:val="00780F0D"/>
    <w:rsid w:val="00782E4B"/>
    <w:rsid w:val="00784EA7"/>
    <w:rsid w:val="007872FD"/>
    <w:rsid w:val="007900DF"/>
    <w:rsid w:val="00790BA7"/>
    <w:rsid w:val="00792769"/>
    <w:rsid w:val="00792786"/>
    <w:rsid w:val="00792D6B"/>
    <w:rsid w:val="0079597C"/>
    <w:rsid w:val="00797A5D"/>
    <w:rsid w:val="007A0074"/>
    <w:rsid w:val="007A4468"/>
    <w:rsid w:val="007A458C"/>
    <w:rsid w:val="007A5535"/>
    <w:rsid w:val="007A64D5"/>
    <w:rsid w:val="007A6B58"/>
    <w:rsid w:val="007A771D"/>
    <w:rsid w:val="007A79F0"/>
    <w:rsid w:val="007B4E03"/>
    <w:rsid w:val="007B70EF"/>
    <w:rsid w:val="007B7B4A"/>
    <w:rsid w:val="007C1C10"/>
    <w:rsid w:val="007C362C"/>
    <w:rsid w:val="007C3AD5"/>
    <w:rsid w:val="007C4E1F"/>
    <w:rsid w:val="007C595D"/>
    <w:rsid w:val="007C7303"/>
    <w:rsid w:val="007C7D18"/>
    <w:rsid w:val="007D0176"/>
    <w:rsid w:val="007D2522"/>
    <w:rsid w:val="007E14CF"/>
    <w:rsid w:val="007E3090"/>
    <w:rsid w:val="007E474D"/>
    <w:rsid w:val="007E703A"/>
    <w:rsid w:val="007F13ED"/>
    <w:rsid w:val="007F3934"/>
    <w:rsid w:val="007F443E"/>
    <w:rsid w:val="007F48BA"/>
    <w:rsid w:val="00800781"/>
    <w:rsid w:val="00800B27"/>
    <w:rsid w:val="008037C3"/>
    <w:rsid w:val="008047EB"/>
    <w:rsid w:val="00812127"/>
    <w:rsid w:val="00814105"/>
    <w:rsid w:val="00814E7F"/>
    <w:rsid w:val="0081577F"/>
    <w:rsid w:val="00816F2B"/>
    <w:rsid w:val="0081743F"/>
    <w:rsid w:val="00824F35"/>
    <w:rsid w:val="00825CBF"/>
    <w:rsid w:val="00826A0F"/>
    <w:rsid w:val="008303EE"/>
    <w:rsid w:val="00830412"/>
    <w:rsid w:val="00833DE7"/>
    <w:rsid w:val="00834DCA"/>
    <w:rsid w:val="00835716"/>
    <w:rsid w:val="00842CCA"/>
    <w:rsid w:val="00842EE2"/>
    <w:rsid w:val="00843E3A"/>
    <w:rsid w:val="00847161"/>
    <w:rsid w:val="00851AE1"/>
    <w:rsid w:val="00851FA0"/>
    <w:rsid w:val="008520D4"/>
    <w:rsid w:val="008522A0"/>
    <w:rsid w:val="00855AC9"/>
    <w:rsid w:val="00855F0E"/>
    <w:rsid w:val="00856100"/>
    <w:rsid w:val="00864A23"/>
    <w:rsid w:val="00864AB7"/>
    <w:rsid w:val="00866959"/>
    <w:rsid w:val="00870504"/>
    <w:rsid w:val="008715A6"/>
    <w:rsid w:val="00871AFD"/>
    <w:rsid w:val="00876139"/>
    <w:rsid w:val="00876BA7"/>
    <w:rsid w:val="008771CD"/>
    <w:rsid w:val="00881DD1"/>
    <w:rsid w:val="00882429"/>
    <w:rsid w:val="00882AD9"/>
    <w:rsid w:val="00882D19"/>
    <w:rsid w:val="0088562B"/>
    <w:rsid w:val="00890319"/>
    <w:rsid w:val="008935A7"/>
    <w:rsid w:val="00893CE6"/>
    <w:rsid w:val="008950CD"/>
    <w:rsid w:val="008973A1"/>
    <w:rsid w:val="008A1F31"/>
    <w:rsid w:val="008A311C"/>
    <w:rsid w:val="008A4590"/>
    <w:rsid w:val="008A74D2"/>
    <w:rsid w:val="008A7725"/>
    <w:rsid w:val="008A79E4"/>
    <w:rsid w:val="008B06DB"/>
    <w:rsid w:val="008B171C"/>
    <w:rsid w:val="008B2945"/>
    <w:rsid w:val="008B349A"/>
    <w:rsid w:val="008B3DAA"/>
    <w:rsid w:val="008B4B9A"/>
    <w:rsid w:val="008B6C83"/>
    <w:rsid w:val="008C04BA"/>
    <w:rsid w:val="008C26D2"/>
    <w:rsid w:val="008C6BD1"/>
    <w:rsid w:val="008D4237"/>
    <w:rsid w:val="008D50F9"/>
    <w:rsid w:val="008D7E55"/>
    <w:rsid w:val="008E0421"/>
    <w:rsid w:val="008E043E"/>
    <w:rsid w:val="008E3845"/>
    <w:rsid w:val="008E5258"/>
    <w:rsid w:val="008E6070"/>
    <w:rsid w:val="008E7626"/>
    <w:rsid w:val="008E762E"/>
    <w:rsid w:val="008F0294"/>
    <w:rsid w:val="008F069F"/>
    <w:rsid w:val="008F298C"/>
    <w:rsid w:val="008F33BA"/>
    <w:rsid w:val="008F3697"/>
    <w:rsid w:val="008F3745"/>
    <w:rsid w:val="008F3AF2"/>
    <w:rsid w:val="008F3F7D"/>
    <w:rsid w:val="008F4449"/>
    <w:rsid w:val="00902987"/>
    <w:rsid w:val="00904C70"/>
    <w:rsid w:val="00905CFE"/>
    <w:rsid w:val="00906AB2"/>
    <w:rsid w:val="00907934"/>
    <w:rsid w:val="00911AAE"/>
    <w:rsid w:val="00911DC2"/>
    <w:rsid w:val="00911E4E"/>
    <w:rsid w:val="00914F74"/>
    <w:rsid w:val="00915934"/>
    <w:rsid w:val="00915DF0"/>
    <w:rsid w:val="009228FD"/>
    <w:rsid w:val="00923969"/>
    <w:rsid w:val="00923CB7"/>
    <w:rsid w:val="00927507"/>
    <w:rsid w:val="009276A4"/>
    <w:rsid w:val="00927A36"/>
    <w:rsid w:val="009308BB"/>
    <w:rsid w:val="009324AA"/>
    <w:rsid w:val="009329D1"/>
    <w:rsid w:val="00933DD2"/>
    <w:rsid w:val="00935908"/>
    <w:rsid w:val="00935E20"/>
    <w:rsid w:val="00937BAC"/>
    <w:rsid w:val="009404AB"/>
    <w:rsid w:val="00942AB0"/>
    <w:rsid w:val="00942DAB"/>
    <w:rsid w:val="00944E41"/>
    <w:rsid w:val="009458AC"/>
    <w:rsid w:val="00945ED1"/>
    <w:rsid w:val="009470C7"/>
    <w:rsid w:val="0095059B"/>
    <w:rsid w:val="00952079"/>
    <w:rsid w:val="0095272D"/>
    <w:rsid w:val="00956E68"/>
    <w:rsid w:val="0095704C"/>
    <w:rsid w:val="00961FC2"/>
    <w:rsid w:val="009624AA"/>
    <w:rsid w:val="00964A42"/>
    <w:rsid w:val="00970743"/>
    <w:rsid w:val="00971267"/>
    <w:rsid w:val="009714B7"/>
    <w:rsid w:val="009715FB"/>
    <w:rsid w:val="00972F11"/>
    <w:rsid w:val="00977288"/>
    <w:rsid w:val="009811CE"/>
    <w:rsid w:val="009812C7"/>
    <w:rsid w:val="00981315"/>
    <w:rsid w:val="00981377"/>
    <w:rsid w:val="00982197"/>
    <w:rsid w:val="00982990"/>
    <w:rsid w:val="00987FD5"/>
    <w:rsid w:val="009905A6"/>
    <w:rsid w:val="009936FF"/>
    <w:rsid w:val="00993ED7"/>
    <w:rsid w:val="00995EB2"/>
    <w:rsid w:val="009A14F9"/>
    <w:rsid w:val="009A15AC"/>
    <w:rsid w:val="009A2976"/>
    <w:rsid w:val="009A2F9E"/>
    <w:rsid w:val="009A3130"/>
    <w:rsid w:val="009A3530"/>
    <w:rsid w:val="009A38B8"/>
    <w:rsid w:val="009A52E6"/>
    <w:rsid w:val="009A7C4A"/>
    <w:rsid w:val="009B19CE"/>
    <w:rsid w:val="009B1E7E"/>
    <w:rsid w:val="009B20EB"/>
    <w:rsid w:val="009B33B2"/>
    <w:rsid w:val="009B63E2"/>
    <w:rsid w:val="009C05FC"/>
    <w:rsid w:val="009C07D6"/>
    <w:rsid w:val="009C33F8"/>
    <w:rsid w:val="009C3BC5"/>
    <w:rsid w:val="009C5031"/>
    <w:rsid w:val="009C53E1"/>
    <w:rsid w:val="009C6B73"/>
    <w:rsid w:val="009C6D2D"/>
    <w:rsid w:val="009C78C3"/>
    <w:rsid w:val="009D2EA7"/>
    <w:rsid w:val="009D3CAC"/>
    <w:rsid w:val="009D405B"/>
    <w:rsid w:val="009D472F"/>
    <w:rsid w:val="009D73D7"/>
    <w:rsid w:val="009E06C4"/>
    <w:rsid w:val="009E5A7A"/>
    <w:rsid w:val="009E5D28"/>
    <w:rsid w:val="009E6F96"/>
    <w:rsid w:val="009F047C"/>
    <w:rsid w:val="009F0C1F"/>
    <w:rsid w:val="009F1CCE"/>
    <w:rsid w:val="009F561C"/>
    <w:rsid w:val="009F647F"/>
    <w:rsid w:val="00A003C8"/>
    <w:rsid w:val="00A015EA"/>
    <w:rsid w:val="00A01BB6"/>
    <w:rsid w:val="00A01C19"/>
    <w:rsid w:val="00A0262A"/>
    <w:rsid w:val="00A0309A"/>
    <w:rsid w:val="00A036F5"/>
    <w:rsid w:val="00A03CFD"/>
    <w:rsid w:val="00A053CA"/>
    <w:rsid w:val="00A07E21"/>
    <w:rsid w:val="00A07E37"/>
    <w:rsid w:val="00A102F4"/>
    <w:rsid w:val="00A10DF5"/>
    <w:rsid w:val="00A12755"/>
    <w:rsid w:val="00A13015"/>
    <w:rsid w:val="00A14D60"/>
    <w:rsid w:val="00A14EEE"/>
    <w:rsid w:val="00A20257"/>
    <w:rsid w:val="00A20953"/>
    <w:rsid w:val="00A20FE7"/>
    <w:rsid w:val="00A21791"/>
    <w:rsid w:val="00A220F2"/>
    <w:rsid w:val="00A24FD2"/>
    <w:rsid w:val="00A252BB"/>
    <w:rsid w:val="00A268DE"/>
    <w:rsid w:val="00A26D43"/>
    <w:rsid w:val="00A338F0"/>
    <w:rsid w:val="00A34967"/>
    <w:rsid w:val="00A34A05"/>
    <w:rsid w:val="00A36230"/>
    <w:rsid w:val="00A417D8"/>
    <w:rsid w:val="00A43011"/>
    <w:rsid w:val="00A4374C"/>
    <w:rsid w:val="00A440D2"/>
    <w:rsid w:val="00A44574"/>
    <w:rsid w:val="00A471B3"/>
    <w:rsid w:val="00A5093C"/>
    <w:rsid w:val="00A51DE0"/>
    <w:rsid w:val="00A53ABE"/>
    <w:rsid w:val="00A552A6"/>
    <w:rsid w:val="00A55FB5"/>
    <w:rsid w:val="00A57079"/>
    <w:rsid w:val="00A61042"/>
    <w:rsid w:val="00A621A3"/>
    <w:rsid w:val="00A63545"/>
    <w:rsid w:val="00A64502"/>
    <w:rsid w:val="00A654C0"/>
    <w:rsid w:val="00A65B1F"/>
    <w:rsid w:val="00A664FD"/>
    <w:rsid w:val="00A7009E"/>
    <w:rsid w:val="00A73735"/>
    <w:rsid w:val="00A737A2"/>
    <w:rsid w:val="00A74876"/>
    <w:rsid w:val="00A74C86"/>
    <w:rsid w:val="00A77DDB"/>
    <w:rsid w:val="00A83D94"/>
    <w:rsid w:val="00A84639"/>
    <w:rsid w:val="00A85A10"/>
    <w:rsid w:val="00A86FF3"/>
    <w:rsid w:val="00A91BBC"/>
    <w:rsid w:val="00A91D3A"/>
    <w:rsid w:val="00A92A11"/>
    <w:rsid w:val="00A9395A"/>
    <w:rsid w:val="00A93B19"/>
    <w:rsid w:val="00A956EC"/>
    <w:rsid w:val="00A971ED"/>
    <w:rsid w:val="00A9783F"/>
    <w:rsid w:val="00AA04B7"/>
    <w:rsid w:val="00AA17EA"/>
    <w:rsid w:val="00AA2083"/>
    <w:rsid w:val="00AA37AA"/>
    <w:rsid w:val="00AA37E7"/>
    <w:rsid w:val="00AA4BF1"/>
    <w:rsid w:val="00AA5BFE"/>
    <w:rsid w:val="00AB107C"/>
    <w:rsid w:val="00AB39D6"/>
    <w:rsid w:val="00AB4A87"/>
    <w:rsid w:val="00AB5312"/>
    <w:rsid w:val="00AC1A4F"/>
    <w:rsid w:val="00AC2DFC"/>
    <w:rsid w:val="00AC336C"/>
    <w:rsid w:val="00AC4011"/>
    <w:rsid w:val="00AC41EF"/>
    <w:rsid w:val="00AC4C03"/>
    <w:rsid w:val="00AC587D"/>
    <w:rsid w:val="00AC5E83"/>
    <w:rsid w:val="00AC7667"/>
    <w:rsid w:val="00AD0207"/>
    <w:rsid w:val="00AD0886"/>
    <w:rsid w:val="00AD18F5"/>
    <w:rsid w:val="00AD5792"/>
    <w:rsid w:val="00AD5D71"/>
    <w:rsid w:val="00AD6548"/>
    <w:rsid w:val="00AD6EC1"/>
    <w:rsid w:val="00AD7FE2"/>
    <w:rsid w:val="00AE3DFC"/>
    <w:rsid w:val="00AE586E"/>
    <w:rsid w:val="00AE71EF"/>
    <w:rsid w:val="00AE7428"/>
    <w:rsid w:val="00AF344E"/>
    <w:rsid w:val="00AF34D1"/>
    <w:rsid w:val="00AF4585"/>
    <w:rsid w:val="00AF4C01"/>
    <w:rsid w:val="00AF4DA5"/>
    <w:rsid w:val="00AF5540"/>
    <w:rsid w:val="00AF583B"/>
    <w:rsid w:val="00AF6343"/>
    <w:rsid w:val="00AF798B"/>
    <w:rsid w:val="00AF7B70"/>
    <w:rsid w:val="00B0096C"/>
    <w:rsid w:val="00B027FF"/>
    <w:rsid w:val="00B0509D"/>
    <w:rsid w:val="00B057C7"/>
    <w:rsid w:val="00B1365F"/>
    <w:rsid w:val="00B13D4E"/>
    <w:rsid w:val="00B15B80"/>
    <w:rsid w:val="00B1686D"/>
    <w:rsid w:val="00B16E46"/>
    <w:rsid w:val="00B2043F"/>
    <w:rsid w:val="00B2081E"/>
    <w:rsid w:val="00B20C3C"/>
    <w:rsid w:val="00B20D25"/>
    <w:rsid w:val="00B23AF9"/>
    <w:rsid w:val="00B23C95"/>
    <w:rsid w:val="00B24C3F"/>
    <w:rsid w:val="00B25E69"/>
    <w:rsid w:val="00B26F1C"/>
    <w:rsid w:val="00B35F5C"/>
    <w:rsid w:val="00B36AD8"/>
    <w:rsid w:val="00B40A64"/>
    <w:rsid w:val="00B41647"/>
    <w:rsid w:val="00B444A3"/>
    <w:rsid w:val="00B46FE1"/>
    <w:rsid w:val="00B47D1A"/>
    <w:rsid w:val="00B47E35"/>
    <w:rsid w:val="00B5002F"/>
    <w:rsid w:val="00B5630C"/>
    <w:rsid w:val="00B57B4C"/>
    <w:rsid w:val="00B64A17"/>
    <w:rsid w:val="00B656D1"/>
    <w:rsid w:val="00B660C2"/>
    <w:rsid w:val="00B7070B"/>
    <w:rsid w:val="00B71570"/>
    <w:rsid w:val="00B76DC5"/>
    <w:rsid w:val="00B81785"/>
    <w:rsid w:val="00B8213E"/>
    <w:rsid w:val="00B82CB7"/>
    <w:rsid w:val="00B8469F"/>
    <w:rsid w:val="00B901BC"/>
    <w:rsid w:val="00B95B81"/>
    <w:rsid w:val="00B9755E"/>
    <w:rsid w:val="00BA0843"/>
    <w:rsid w:val="00BA096D"/>
    <w:rsid w:val="00BA0CCA"/>
    <w:rsid w:val="00BA0FFC"/>
    <w:rsid w:val="00BA109B"/>
    <w:rsid w:val="00BA1470"/>
    <w:rsid w:val="00BA27B1"/>
    <w:rsid w:val="00BA39DA"/>
    <w:rsid w:val="00BA5346"/>
    <w:rsid w:val="00BA7DC4"/>
    <w:rsid w:val="00BB0647"/>
    <w:rsid w:val="00BB4EBC"/>
    <w:rsid w:val="00BB74BE"/>
    <w:rsid w:val="00BB7E2E"/>
    <w:rsid w:val="00BC078A"/>
    <w:rsid w:val="00BC16D7"/>
    <w:rsid w:val="00BC1BBA"/>
    <w:rsid w:val="00BC3974"/>
    <w:rsid w:val="00BC4195"/>
    <w:rsid w:val="00BC734C"/>
    <w:rsid w:val="00BD108B"/>
    <w:rsid w:val="00BD22BD"/>
    <w:rsid w:val="00BD3741"/>
    <w:rsid w:val="00BD6BA0"/>
    <w:rsid w:val="00BD73F1"/>
    <w:rsid w:val="00BD7C23"/>
    <w:rsid w:val="00BE0A2A"/>
    <w:rsid w:val="00BE0FFF"/>
    <w:rsid w:val="00BE16ED"/>
    <w:rsid w:val="00BE1F33"/>
    <w:rsid w:val="00BE2E66"/>
    <w:rsid w:val="00BE3591"/>
    <w:rsid w:val="00BE567E"/>
    <w:rsid w:val="00BE6431"/>
    <w:rsid w:val="00BE6690"/>
    <w:rsid w:val="00BE7693"/>
    <w:rsid w:val="00BE770C"/>
    <w:rsid w:val="00BF1150"/>
    <w:rsid w:val="00BF3446"/>
    <w:rsid w:val="00BF6869"/>
    <w:rsid w:val="00BF7953"/>
    <w:rsid w:val="00C00C1B"/>
    <w:rsid w:val="00C01A15"/>
    <w:rsid w:val="00C02AEA"/>
    <w:rsid w:val="00C03665"/>
    <w:rsid w:val="00C04B38"/>
    <w:rsid w:val="00C065E5"/>
    <w:rsid w:val="00C12593"/>
    <w:rsid w:val="00C12671"/>
    <w:rsid w:val="00C14892"/>
    <w:rsid w:val="00C14E7D"/>
    <w:rsid w:val="00C16892"/>
    <w:rsid w:val="00C16DB9"/>
    <w:rsid w:val="00C20442"/>
    <w:rsid w:val="00C20A34"/>
    <w:rsid w:val="00C22138"/>
    <w:rsid w:val="00C22164"/>
    <w:rsid w:val="00C25CFA"/>
    <w:rsid w:val="00C26816"/>
    <w:rsid w:val="00C27847"/>
    <w:rsid w:val="00C2797D"/>
    <w:rsid w:val="00C279DE"/>
    <w:rsid w:val="00C32CDE"/>
    <w:rsid w:val="00C34764"/>
    <w:rsid w:val="00C34FEF"/>
    <w:rsid w:val="00C379D2"/>
    <w:rsid w:val="00C4034C"/>
    <w:rsid w:val="00C41082"/>
    <w:rsid w:val="00C41C48"/>
    <w:rsid w:val="00C4266F"/>
    <w:rsid w:val="00C42E91"/>
    <w:rsid w:val="00C447AA"/>
    <w:rsid w:val="00C47188"/>
    <w:rsid w:val="00C503D0"/>
    <w:rsid w:val="00C50C0F"/>
    <w:rsid w:val="00C52678"/>
    <w:rsid w:val="00C52F93"/>
    <w:rsid w:val="00C530A9"/>
    <w:rsid w:val="00C55055"/>
    <w:rsid w:val="00C57D18"/>
    <w:rsid w:val="00C61FBD"/>
    <w:rsid w:val="00C63893"/>
    <w:rsid w:val="00C67707"/>
    <w:rsid w:val="00C727D7"/>
    <w:rsid w:val="00C727E0"/>
    <w:rsid w:val="00C73B4F"/>
    <w:rsid w:val="00C7652E"/>
    <w:rsid w:val="00C76D8E"/>
    <w:rsid w:val="00C77719"/>
    <w:rsid w:val="00C77E6B"/>
    <w:rsid w:val="00C8088E"/>
    <w:rsid w:val="00C80D19"/>
    <w:rsid w:val="00C81A85"/>
    <w:rsid w:val="00C81F43"/>
    <w:rsid w:val="00C909F6"/>
    <w:rsid w:val="00C92FF7"/>
    <w:rsid w:val="00C950DC"/>
    <w:rsid w:val="00C95A87"/>
    <w:rsid w:val="00CA013D"/>
    <w:rsid w:val="00CA2D9C"/>
    <w:rsid w:val="00CA478A"/>
    <w:rsid w:val="00CA5B28"/>
    <w:rsid w:val="00CA5F24"/>
    <w:rsid w:val="00CA6E4B"/>
    <w:rsid w:val="00CA79A9"/>
    <w:rsid w:val="00CB0131"/>
    <w:rsid w:val="00CB4435"/>
    <w:rsid w:val="00CB4663"/>
    <w:rsid w:val="00CB4BA3"/>
    <w:rsid w:val="00CB67C0"/>
    <w:rsid w:val="00CB6E67"/>
    <w:rsid w:val="00CC1795"/>
    <w:rsid w:val="00CC22CD"/>
    <w:rsid w:val="00CC3E35"/>
    <w:rsid w:val="00CC4816"/>
    <w:rsid w:val="00CD04F2"/>
    <w:rsid w:val="00CD1603"/>
    <w:rsid w:val="00CD279C"/>
    <w:rsid w:val="00CD3164"/>
    <w:rsid w:val="00CD3F3B"/>
    <w:rsid w:val="00CD4B53"/>
    <w:rsid w:val="00CD78E9"/>
    <w:rsid w:val="00CE05D3"/>
    <w:rsid w:val="00CE32DF"/>
    <w:rsid w:val="00CE4764"/>
    <w:rsid w:val="00CE6145"/>
    <w:rsid w:val="00CF0D56"/>
    <w:rsid w:val="00CF4EE4"/>
    <w:rsid w:val="00CF6D3C"/>
    <w:rsid w:val="00D00AA6"/>
    <w:rsid w:val="00D03C2E"/>
    <w:rsid w:val="00D04A0E"/>
    <w:rsid w:val="00D14260"/>
    <w:rsid w:val="00D167B1"/>
    <w:rsid w:val="00D16A2B"/>
    <w:rsid w:val="00D17340"/>
    <w:rsid w:val="00D17A22"/>
    <w:rsid w:val="00D22C51"/>
    <w:rsid w:val="00D22EF2"/>
    <w:rsid w:val="00D23DA8"/>
    <w:rsid w:val="00D23FC1"/>
    <w:rsid w:val="00D245A6"/>
    <w:rsid w:val="00D246EC"/>
    <w:rsid w:val="00D247D6"/>
    <w:rsid w:val="00D248EA"/>
    <w:rsid w:val="00D2588B"/>
    <w:rsid w:val="00D2711D"/>
    <w:rsid w:val="00D31326"/>
    <w:rsid w:val="00D314A1"/>
    <w:rsid w:val="00D315F8"/>
    <w:rsid w:val="00D32D53"/>
    <w:rsid w:val="00D340C1"/>
    <w:rsid w:val="00D3484B"/>
    <w:rsid w:val="00D349C0"/>
    <w:rsid w:val="00D35D68"/>
    <w:rsid w:val="00D36868"/>
    <w:rsid w:val="00D36D54"/>
    <w:rsid w:val="00D431D6"/>
    <w:rsid w:val="00D436F8"/>
    <w:rsid w:val="00D46F28"/>
    <w:rsid w:val="00D50551"/>
    <w:rsid w:val="00D50854"/>
    <w:rsid w:val="00D50BA0"/>
    <w:rsid w:val="00D50D19"/>
    <w:rsid w:val="00D55914"/>
    <w:rsid w:val="00D55AF6"/>
    <w:rsid w:val="00D56737"/>
    <w:rsid w:val="00D56D74"/>
    <w:rsid w:val="00D56DFF"/>
    <w:rsid w:val="00D572D9"/>
    <w:rsid w:val="00D60A62"/>
    <w:rsid w:val="00D60DDE"/>
    <w:rsid w:val="00D62294"/>
    <w:rsid w:val="00D678E3"/>
    <w:rsid w:val="00D70D21"/>
    <w:rsid w:val="00D721E6"/>
    <w:rsid w:val="00D73AC6"/>
    <w:rsid w:val="00D746C3"/>
    <w:rsid w:val="00D75A2E"/>
    <w:rsid w:val="00D77405"/>
    <w:rsid w:val="00D80F8B"/>
    <w:rsid w:val="00D83A81"/>
    <w:rsid w:val="00D8532A"/>
    <w:rsid w:val="00D91424"/>
    <w:rsid w:val="00D956D7"/>
    <w:rsid w:val="00D96475"/>
    <w:rsid w:val="00D96F4F"/>
    <w:rsid w:val="00D97734"/>
    <w:rsid w:val="00D97C28"/>
    <w:rsid w:val="00DA1EC6"/>
    <w:rsid w:val="00DA3EC0"/>
    <w:rsid w:val="00DA5343"/>
    <w:rsid w:val="00DB2D44"/>
    <w:rsid w:val="00DB48B4"/>
    <w:rsid w:val="00DB5062"/>
    <w:rsid w:val="00DB64A8"/>
    <w:rsid w:val="00DC05F9"/>
    <w:rsid w:val="00DC071D"/>
    <w:rsid w:val="00DC60FE"/>
    <w:rsid w:val="00DC677D"/>
    <w:rsid w:val="00DC7BB3"/>
    <w:rsid w:val="00DD0085"/>
    <w:rsid w:val="00DD2500"/>
    <w:rsid w:val="00DD2C34"/>
    <w:rsid w:val="00DD387F"/>
    <w:rsid w:val="00DD3C54"/>
    <w:rsid w:val="00DD6532"/>
    <w:rsid w:val="00DE2F77"/>
    <w:rsid w:val="00DE3625"/>
    <w:rsid w:val="00DE3E38"/>
    <w:rsid w:val="00DE57F7"/>
    <w:rsid w:val="00DE6DA2"/>
    <w:rsid w:val="00DF0090"/>
    <w:rsid w:val="00DF5174"/>
    <w:rsid w:val="00DF5B7C"/>
    <w:rsid w:val="00DF5BBE"/>
    <w:rsid w:val="00DF5F31"/>
    <w:rsid w:val="00DF7D0F"/>
    <w:rsid w:val="00E00301"/>
    <w:rsid w:val="00E004B0"/>
    <w:rsid w:val="00E02421"/>
    <w:rsid w:val="00E02E0F"/>
    <w:rsid w:val="00E03DE0"/>
    <w:rsid w:val="00E041B2"/>
    <w:rsid w:val="00E07161"/>
    <w:rsid w:val="00E15C3E"/>
    <w:rsid w:val="00E172BF"/>
    <w:rsid w:val="00E1740A"/>
    <w:rsid w:val="00E22C13"/>
    <w:rsid w:val="00E237BF"/>
    <w:rsid w:val="00E23F9C"/>
    <w:rsid w:val="00E24FBD"/>
    <w:rsid w:val="00E3112D"/>
    <w:rsid w:val="00E31399"/>
    <w:rsid w:val="00E337C1"/>
    <w:rsid w:val="00E33DCA"/>
    <w:rsid w:val="00E347F0"/>
    <w:rsid w:val="00E35823"/>
    <w:rsid w:val="00E366AB"/>
    <w:rsid w:val="00E368F3"/>
    <w:rsid w:val="00E37308"/>
    <w:rsid w:val="00E41072"/>
    <w:rsid w:val="00E46D2F"/>
    <w:rsid w:val="00E50142"/>
    <w:rsid w:val="00E50FFD"/>
    <w:rsid w:val="00E520E6"/>
    <w:rsid w:val="00E54D1A"/>
    <w:rsid w:val="00E54D42"/>
    <w:rsid w:val="00E5507A"/>
    <w:rsid w:val="00E55AD0"/>
    <w:rsid w:val="00E6077E"/>
    <w:rsid w:val="00E60C2D"/>
    <w:rsid w:val="00E6284A"/>
    <w:rsid w:val="00E63CC6"/>
    <w:rsid w:val="00E64431"/>
    <w:rsid w:val="00E67774"/>
    <w:rsid w:val="00E71A4E"/>
    <w:rsid w:val="00E80E3D"/>
    <w:rsid w:val="00E83935"/>
    <w:rsid w:val="00E83A85"/>
    <w:rsid w:val="00E843DA"/>
    <w:rsid w:val="00E85D42"/>
    <w:rsid w:val="00E87B5C"/>
    <w:rsid w:val="00E91062"/>
    <w:rsid w:val="00E91694"/>
    <w:rsid w:val="00E9487B"/>
    <w:rsid w:val="00E960B2"/>
    <w:rsid w:val="00EA0E0A"/>
    <w:rsid w:val="00EA3BBB"/>
    <w:rsid w:val="00EA58EA"/>
    <w:rsid w:val="00EA6147"/>
    <w:rsid w:val="00EB163B"/>
    <w:rsid w:val="00EB59BD"/>
    <w:rsid w:val="00EB6B9B"/>
    <w:rsid w:val="00EB766D"/>
    <w:rsid w:val="00EC1ABC"/>
    <w:rsid w:val="00EC2A5C"/>
    <w:rsid w:val="00EC6BB9"/>
    <w:rsid w:val="00ED00AC"/>
    <w:rsid w:val="00ED0AD6"/>
    <w:rsid w:val="00ED1182"/>
    <w:rsid w:val="00ED139B"/>
    <w:rsid w:val="00ED178D"/>
    <w:rsid w:val="00ED54AC"/>
    <w:rsid w:val="00ED598A"/>
    <w:rsid w:val="00ED66FE"/>
    <w:rsid w:val="00ED7432"/>
    <w:rsid w:val="00EE0BD1"/>
    <w:rsid w:val="00EE1346"/>
    <w:rsid w:val="00EE36D2"/>
    <w:rsid w:val="00EE473B"/>
    <w:rsid w:val="00EE4A25"/>
    <w:rsid w:val="00EE5C1A"/>
    <w:rsid w:val="00EE659F"/>
    <w:rsid w:val="00EE767F"/>
    <w:rsid w:val="00EF030D"/>
    <w:rsid w:val="00EF09BA"/>
    <w:rsid w:val="00EF0A88"/>
    <w:rsid w:val="00EF3C95"/>
    <w:rsid w:val="00EF4483"/>
    <w:rsid w:val="00EF48A5"/>
    <w:rsid w:val="00EF5EF6"/>
    <w:rsid w:val="00EF71C3"/>
    <w:rsid w:val="00F00474"/>
    <w:rsid w:val="00F0298E"/>
    <w:rsid w:val="00F03268"/>
    <w:rsid w:val="00F0391F"/>
    <w:rsid w:val="00F05C32"/>
    <w:rsid w:val="00F062BB"/>
    <w:rsid w:val="00F06526"/>
    <w:rsid w:val="00F067BD"/>
    <w:rsid w:val="00F0714A"/>
    <w:rsid w:val="00F076F8"/>
    <w:rsid w:val="00F077D2"/>
    <w:rsid w:val="00F07CA1"/>
    <w:rsid w:val="00F12226"/>
    <w:rsid w:val="00F12E91"/>
    <w:rsid w:val="00F1385B"/>
    <w:rsid w:val="00F145B4"/>
    <w:rsid w:val="00F14F13"/>
    <w:rsid w:val="00F165D0"/>
    <w:rsid w:val="00F16A81"/>
    <w:rsid w:val="00F17B8F"/>
    <w:rsid w:val="00F21210"/>
    <w:rsid w:val="00F23BDC"/>
    <w:rsid w:val="00F303E7"/>
    <w:rsid w:val="00F31FCA"/>
    <w:rsid w:val="00F32A47"/>
    <w:rsid w:val="00F33E1E"/>
    <w:rsid w:val="00F350EA"/>
    <w:rsid w:val="00F41089"/>
    <w:rsid w:val="00F41618"/>
    <w:rsid w:val="00F43837"/>
    <w:rsid w:val="00F43C94"/>
    <w:rsid w:val="00F43F66"/>
    <w:rsid w:val="00F4420C"/>
    <w:rsid w:val="00F445E8"/>
    <w:rsid w:val="00F44E79"/>
    <w:rsid w:val="00F46905"/>
    <w:rsid w:val="00F46FEA"/>
    <w:rsid w:val="00F52DC5"/>
    <w:rsid w:val="00F53690"/>
    <w:rsid w:val="00F53736"/>
    <w:rsid w:val="00F61941"/>
    <w:rsid w:val="00F63695"/>
    <w:rsid w:val="00F65D15"/>
    <w:rsid w:val="00F70309"/>
    <w:rsid w:val="00F72A18"/>
    <w:rsid w:val="00F72C73"/>
    <w:rsid w:val="00F7415B"/>
    <w:rsid w:val="00F772B3"/>
    <w:rsid w:val="00F80562"/>
    <w:rsid w:val="00F81A88"/>
    <w:rsid w:val="00F832CF"/>
    <w:rsid w:val="00F8396F"/>
    <w:rsid w:val="00F85324"/>
    <w:rsid w:val="00F85802"/>
    <w:rsid w:val="00F85AC8"/>
    <w:rsid w:val="00F85F31"/>
    <w:rsid w:val="00F86281"/>
    <w:rsid w:val="00F87314"/>
    <w:rsid w:val="00F9286C"/>
    <w:rsid w:val="00F928AC"/>
    <w:rsid w:val="00F92C23"/>
    <w:rsid w:val="00FA05A7"/>
    <w:rsid w:val="00FA1CF9"/>
    <w:rsid w:val="00FA3FC3"/>
    <w:rsid w:val="00FA5BB6"/>
    <w:rsid w:val="00FA5CCC"/>
    <w:rsid w:val="00FA5E2C"/>
    <w:rsid w:val="00FA7BF6"/>
    <w:rsid w:val="00FB0CEA"/>
    <w:rsid w:val="00FB1B85"/>
    <w:rsid w:val="00FB1D51"/>
    <w:rsid w:val="00FB35AE"/>
    <w:rsid w:val="00FB4EB0"/>
    <w:rsid w:val="00FB5D91"/>
    <w:rsid w:val="00FB5EB6"/>
    <w:rsid w:val="00FC1273"/>
    <w:rsid w:val="00FC1F20"/>
    <w:rsid w:val="00FC339D"/>
    <w:rsid w:val="00FC6DB0"/>
    <w:rsid w:val="00FC78E6"/>
    <w:rsid w:val="00FD365C"/>
    <w:rsid w:val="00FD4405"/>
    <w:rsid w:val="00FD46F5"/>
    <w:rsid w:val="00FD6577"/>
    <w:rsid w:val="00FD6C29"/>
    <w:rsid w:val="00FD72DA"/>
    <w:rsid w:val="00FD7CEB"/>
    <w:rsid w:val="00FE0BB1"/>
    <w:rsid w:val="00FE36B8"/>
    <w:rsid w:val="00FE3C35"/>
    <w:rsid w:val="00FE681E"/>
    <w:rsid w:val="00FE74B8"/>
    <w:rsid w:val="00FF21D7"/>
    <w:rsid w:val="00FF264C"/>
    <w:rsid w:val="00FF2D66"/>
    <w:rsid w:val="00FF307F"/>
    <w:rsid w:val="00FF3D88"/>
    <w:rsid w:val="00FF6661"/>
    <w:rsid w:val="00FF750B"/>
    <w:rsid w:val="01086C64"/>
    <w:rsid w:val="01127ECD"/>
    <w:rsid w:val="022143EC"/>
    <w:rsid w:val="02466D12"/>
    <w:rsid w:val="026D26E9"/>
    <w:rsid w:val="04472A79"/>
    <w:rsid w:val="05034C75"/>
    <w:rsid w:val="067D17F3"/>
    <w:rsid w:val="07F55F19"/>
    <w:rsid w:val="07F7358F"/>
    <w:rsid w:val="0A0A6645"/>
    <w:rsid w:val="0A2171D8"/>
    <w:rsid w:val="0BC11EE9"/>
    <w:rsid w:val="0BFDA643"/>
    <w:rsid w:val="0C025E06"/>
    <w:rsid w:val="0CA27F6D"/>
    <w:rsid w:val="0D0A1357"/>
    <w:rsid w:val="0D841421"/>
    <w:rsid w:val="0D863A83"/>
    <w:rsid w:val="0E1E338F"/>
    <w:rsid w:val="0E2436DF"/>
    <w:rsid w:val="0EAFFE13"/>
    <w:rsid w:val="0EBD0938"/>
    <w:rsid w:val="0F2C7FC2"/>
    <w:rsid w:val="0F6A6E6B"/>
    <w:rsid w:val="0FBF4992"/>
    <w:rsid w:val="0FDB09EB"/>
    <w:rsid w:val="0FDD5904"/>
    <w:rsid w:val="10EC17B7"/>
    <w:rsid w:val="119C68CC"/>
    <w:rsid w:val="12DA28E8"/>
    <w:rsid w:val="13565192"/>
    <w:rsid w:val="1398780B"/>
    <w:rsid w:val="158F4E06"/>
    <w:rsid w:val="15FE3B78"/>
    <w:rsid w:val="16041350"/>
    <w:rsid w:val="172F68E4"/>
    <w:rsid w:val="179D1A5D"/>
    <w:rsid w:val="17B86E19"/>
    <w:rsid w:val="18185587"/>
    <w:rsid w:val="18291542"/>
    <w:rsid w:val="186407CC"/>
    <w:rsid w:val="18B81B84"/>
    <w:rsid w:val="18D524FF"/>
    <w:rsid w:val="19F1336E"/>
    <w:rsid w:val="19FBB57E"/>
    <w:rsid w:val="1A2B4310"/>
    <w:rsid w:val="1A587293"/>
    <w:rsid w:val="1AB84C4F"/>
    <w:rsid w:val="1AE3E9B7"/>
    <w:rsid w:val="1B2D8937"/>
    <w:rsid w:val="1BDD2BE1"/>
    <w:rsid w:val="1C63577B"/>
    <w:rsid w:val="1CDF53C0"/>
    <w:rsid w:val="1D17405F"/>
    <w:rsid w:val="1D596D99"/>
    <w:rsid w:val="1E202CF1"/>
    <w:rsid w:val="1F397911"/>
    <w:rsid w:val="1F9A4CB0"/>
    <w:rsid w:val="203A1ACD"/>
    <w:rsid w:val="20C5525C"/>
    <w:rsid w:val="20D83B05"/>
    <w:rsid w:val="213A656E"/>
    <w:rsid w:val="21512926"/>
    <w:rsid w:val="22207FFF"/>
    <w:rsid w:val="229A6554"/>
    <w:rsid w:val="23BC326A"/>
    <w:rsid w:val="23EBF95F"/>
    <w:rsid w:val="24074DC2"/>
    <w:rsid w:val="240E19B7"/>
    <w:rsid w:val="24672B46"/>
    <w:rsid w:val="25903571"/>
    <w:rsid w:val="26094761"/>
    <w:rsid w:val="264D0715"/>
    <w:rsid w:val="26906C30"/>
    <w:rsid w:val="26A511A6"/>
    <w:rsid w:val="272555CB"/>
    <w:rsid w:val="274F0C47"/>
    <w:rsid w:val="278D197F"/>
    <w:rsid w:val="285B54FB"/>
    <w:rsid w:val="298A3D09"/>
    <w:rsid w:val="29A80A9E"/>
    <w:rsid w:val="29A901D7"/>
    <w:rsid w:val="2A8D46CE"/>
    <w:rsid w:val="2A9071FF"/>
    <w:rsid w:val="2B176FCC"/>
    <w:rsid w:val="2BD36676"/>
    <w:rsid w:val="2C486806"/>
    <w:rsid w:val="2CE01C5C"/>
    <w:rsid w:val="2D172C70"/>
    <w:rsid w:val="2D8F379E"/>
    <w:rsid w:val="2D9B2143"/>
    <w:rsid w:val="2DA6475A"/>
    <w:rsid w:val="2DCD6480"/>
    <w:rsid w:val="2E112405"/>
    <w:rsid w:val="2E3D144C"/>
    <w:rsid w:val="2F4F7689"/>
    <w:rsid w:val="2F5FD4B2"/>
    <w:rsid w:val="3062639E"/>
    <w:rsid w:val="30B453C0"/>
    <w:rsid w:val="30BF3F71"/>
    <w:rsid w:val="31701D2A"/>
    <w:rsid w:val="318D26EA"/>
    <w:rsid w:val="32290665"/>
    <w:rsid w:val="327318E0"/>
    <w:rsid w:val="32885959"/>
    <w:rsid w:val="33154729"/>
    <w:rsid w:val="33BF2903"/>
    <w:rsid w:val="34140BDA"/>
    <w:rsid w:val="34486852"/>
    <w:rsid w:val="34847DD4"/>
    <w:rsid w:val="34DF51DF"/>
    <w:rsid w:val="3659CF09"/>
    <w:rsid w:val="371D201C"/>
    <w:rsid w:val="37D7D64D"/>
    <w:rsid w:val="37DD58B2"/>
    <w:rsid w:val="37E6C5A9"/>
    <w:rsid w:val="37ED9385"/>
    <w:rsid w:val="37FE66BC"/>
    <w:rsid w:val="37FE75B6"/>
    <w:rsid w:val="381C424B"/>
    <w:rsid w:val="3862042D"/>
    <w:rsid w:val="388D536B"/>
    <w:rsid w:val="389F4E2A"/>
    <w:rsid w:val="39836E80"/>
    <w:rsid w:val="39FB7351"/>
    <w:rsid w:val="3A6A67D9"/>
    <w:rsid w:val="3A797CAF"/>
    <w:rsid w:val="3ACBD264"/>
    <w:rsid w:val="3AD7394F"/>
    <w:rsid w:val="3B6224F2"/>
    <w:rsid w:val="3BB93E68"/>
    <w:rsid w:val="3BBF513D"/>
    <w:rsid w:val="3BFBAC74"/>
    <w:rsid w:val="3CBE19AA"/>
    <w:rsid w:val="3CDEB68B"/>
    <w:rsid w:val="3D1E4B3E"/>
    <w:rsid w:val="3D2F28A7"/>
    <w:rsid w:val="3D440BCD"/>
    <w:rsid w:val="3D5E58F7"/>
    <w:rsid w:val="3D6064EF"/>
    <w:rsid w:val="3DB26019"/>
    <w:rsid w:val="3DCF8497"/>
    <w:rsid w:val="3DDA0E2F"/>
    <w:rsid w:val="3DEF2F52"/>
    <w:rsid w:val="3E410AE4"/>
    <w:rsid w:val="3E5D256C"/>
    <w:rsid w:val="3EA05CBF"/>
    <w:rsid w:val="3EE4B5F7"/>
    <w:rsid w:val="3EF96906"/>
    <w:rsid w:val="3F2D283D"/>
    <w:rsid w:val="3F4B7F0F"/>
    <w:rsid w:val="3F4F1BC3"/>
    <w:rsid w:val="3F59FBCB"/>
    <w:rsid w:val="3FBA75E8"/>
    <w:rsid w:val="3FCE91F8"/>
    <w:rsid w:val="3FEDB705"/>
    <w:rsid w:val="3FF311E4"/>
    <w:rsid w:val="3FF76A73"/>
    <w:rsid w:val="3FFBA2A1"/>
    <w:rsid w:val="3FFF7528"/>
    <w:rsid w:val="40C559FD"/>
    <w:rsid w:val="418864EF"/>
    <w:rsid w:val="419B49AF"/>
    <w:rsid w:val="42005B16"/>
    <w:rsid w:val="42726ECF"/>
    <w:rsid w:val="42E47C90"/>
    <w:rsid w:val="430622FC"/>
    <w:rsid w:val="43EB2EA4"/>
    <w:rsid w:val="440E51DB"/>
    <w:rsid w:val="442246DB"/>
    <w:rsid w:val="44246EDE"/>
    <w:rsid w:val="4484797D"/>
    <w:rsid w:val="44C8791D"/>
    <w:rsid w:val="44EE6241"/>
    <w:rsid w:val="450F36EA"/>
    <w:rsid w:val="45B24076"/>
    <w:rsid w:val="46467707"/>
    <w:rsid w:val="467B6220"/>
    <w:rsid w:val="47522184"/>
    <w:rsid w:val="47D41179"/>
    <w:rsid w:val="482A25E9"/>
    <w:rsid w:val="485824B9"/>
    <w:rsid w:val="493556E9"/>
    <w:rsid w:val="4976569D"/>
    <w:rsid w:val="49BA48C9"/>
    <w:rsid w:val="49CF1E07"/>
    <w:rsid w:val="4ABE4612"/>
    <w:rsid w:val="4B15464D"/>
    <w:rsid w:val="4B4E0679"/>
    <w:rsid w:val="4B7F0E9E"/>
    <w:rsid w:val="4BAD5A0B"/>
    <w:rsid w:val="4BB22BD9"/>
    <w:rsid w:val="4C2C625F"/>
    <w:rsid w:val="4D1D4262"/>
    <w:rsid w:val="4D1F0243"/>
    <w:rsid w:val="4D3B4D64"/>
    <w:rsid w:val="4DBE96BF"/>
    <w:rsid w:val="4E3F6FA8"/>
    <w:rsid w:val="4E761A7B"/>
    <w:rsid w:val="4E7A46AF"/>
    <w:rsid w:val="4EFDF4D7"/>
    <w:rsid w:val="4FA233AD"/>
    <w:rsid w:val="4FFF2D6A"/>
    <w:rsid w:val="50227C85"/>
    <w:rsid w:val="50D97BF5"/>
    <w:rsid w:val="510C05F6"/>
    <w:rsid w:val="51164E29"/>
    <w:rsid w:val="51663C9A"/>
    <w:rsid w:val="51774FE5"/>
    <w:rsid w:val="51D43D07"/>
    <w:rsid w:val="525B5E53"/>
    <w:rsid w:val="5314426D"/>
    <w:rsid w:val="536F7A4A"/>
    <w:rsid w:val="541F721C"/>
    <w:rsid w:val="54801843"/>
    <w:rsid w:val="54AD25D8"/>
    <w:rsid w:val="54EE666D"/>
    <w:rsid w:val="5599D6D3"/>
    <w:rsid w:val="55DD52C1"/>
    <w:rsid w:val="561F0B20"/>
    <w:rsid w:val="56963A5E"/>
    <w:rsid w:val="56A26632"/>
    <w:rsid w:val="56EF634F"/>
    <w:rsid w:val="56FF222C"/>
    <w:rsid w:val="570B1F9E"/>
    <w:rsid w:val="570C5CDB"/>
    <w:rsid w:val="57B79897"/>
    <w:rsid w:val="57F5C41D"/>
    <w:rsid w:val="585146C8"/>
    <w:rsid w:val="59AD6BD6"/>
    <w:rsid w:val="59ADC631"/>
    <w:rsid w:val="59DD2988"/>
    <w:rsid w:val="59FB2A32"/>
    <w:rsid w:val="5A0A04CC"/>
    <w:rsid w:val="5AFF321E"/>
    <w:rsid w:val="5B4E7A84"/>
    <w:rsid w:val="5B7EA3E9"/>
    <w:rsid w:val="5B9D1B1E"/>
    <w:rsid w:val="5BCC5A39"/>
    <w:rsid w:val="5BEF9706"/>
    <w:rsid w:val="5BFFE157"/>
    <w:rsid w:val="5C9E5420"/>
    <w:rsid w:val="5CAC6A8A"/>
    <w:rsid w:val="5D064F7B"/>
    <w:rsid w:val="5D0C7246"/>
    <w:rsid w:val="5D582E99"/>
    <w:rsid w:val="5D5FCA30"/>
    <w:rsid w:val="5DCC78AD"/>
    <w:rsid w:val="5DDE6B4B"/>
    <w:rsid w:val="5DEB6D7F"/>
    <w:rsid w:val="5DF76BE1"/>
    <w:rsid w:val="5DFD7922"/>
    <w:rsid w:val="5E3840B8"/>
    <w:rsid w:val="5E7C20C7"/>
    <w:rsid w:val="5E965468"/>
    <w:rsid w:val="5EB56C59"/>
    <w:rsid w:val="5EBF785C"/>
    <w:rsid w:val="5EED41DB"/>
    <w:rsid w:val="5EF7EB1E"/>
    <w:rsid w:val="5F3215AC"/>
    <w:rsid w:val="5F750196"/>
    <w:rsid w:val="5FBD93C6"/>
    <w:rsid w:val="5FBFA1DA"/>
    <w:rsid w:val="5FE5D30C"/>
    <w:rsid w:val="5FE8776A"/>
    <w:rsid w:val="5FFAC157"/>
    <w:rsid w:val="5FFCD903"/>
    <w:rsid w:val="5FFF0041"/>
    <w:rsid w:val="5FFF811C"/>
    <w:rsid w:val="600F70A7"/>
    <w:rsid w:val="601C7A90"/>
    <w:rsid w:val="606621B4"/>
    <w:rsid w:val="60BF4586"/>
    <w:rsid w:val="60E81DBB"/>
    <w:rsid w:val="614B6D12"/>
    <w:rsid w:val="61E5A510"/>
    <w:rsid w:val="625C7A39"/>
    <w:rsid w:val="62F021A1"/>
    <w:rsid w:val="63490BD7"/>
    <w:rsid w:val="63A364B9"/>
    <w:rsid w:val="63BE1555"/>
    <w:rsid w:val="63FA6B1B"/>
    <w:rsid w:val="64306D81"/>
    <w:rsid w:val="647F13A0"/>
    <w:rsid w:val="64B79261"/>
    <w:rsid w:val="64D33A17"/>
    <w:rsid w:val="65114A69"/>
    <w:rsid w:val="65594A90"/>
    <w:rsid w:val="6561001D"/>
    <w:rsid w:val="658E3D60"/>
    <w:rsid w:val="65F9C941"/>
    <w:rsid w:val="663754B0"/>
    <w:rsid w:val="66703608"/>
    <w:rsid w:val="66EDEF08"/>
    <w:rsid w:val="66F355ED"/>
    <w:rsid w:val="66FFF09D"/>
    <w:rsid w:val="67047C48"/>
    <w:rsid w:val="677A0108"/>
    <w:rsid w:val="679F2D57"/>
    <w:rsid w:val="679F61E3"/>
    <w:rsid w:val="67B236E0"/>
    <w:rsid w:val="67DD9C20"/>
    <w:rsid w:val="67FF0B6A"/>
    <w:rsid w:val="67FFD784"/>
    <w:rsid w:val="68F842D5"/>
    <w:rsid w:val="68FB333A"/>
    <w:rsid w:val="692C7B17"/>
    <w:rsid w:val="693C34D0"/>
    <w:rsid w:val="6A2B31C3"/>
    <w:rsid w:val="6AF369C1"/>
    <w:rsid w:val="6B7F24B4"/>
    <w:rsid w:val="6BC95AF1"/>
    <w:rsid w:val="6BEBED43"/>
    <w:rsid w:val="6BFF439A"/>
    <w:rsid w:val="6CD55F5A"/>
    <w:rsid w:val="6CEE572F"/>
    <w:rsid w:val="6D036DE1"/>
    <w:rsid w:val="6D374E14"/>
    <w:rsid w:val="6DFABB7D"/>
    <w:rsid w:val="6DFF3A58"/>
    <w:rsid w:val="6E4E6782"/>
    <w:rsid w:val="6E5B8151"/>
    <w:rsid w:val="6E8B52E0"/>
    <w:rsid w:val="6EC7536C"/>
    <w:rsid w:val="6ECB1B80"/>
    <w:rsid w:val="6EF54E4F"/>
    <w:rsid w:val="6EF722B4"/>
    <w:rsid w:val="6F045092"/>
    <w:rsid w:val="6F0E7983"/>
    <w:rsid w:val="6F54013B"/>
    <w:rsid w:val="6F5C7C70"/>
    <w:rsid w:val="6F636604"/>
    <w:rsid w:val="6F7C3251"/>
    <w:rsid w:val="6FDFA327"/>
    <w:rsid w:val="6FEF813C"/>
    <w:rsid w:val="6FFEBBA4"/>
    <w:rsid w:val="6FFF2EE4"/>
    <w:rsid w:val="702C2AF3"/>
    <w:rsid w:val="70657DB3"/>
    <w:rsid w:val="706933FF"/>
    <w:rsid w:val="7078656C"/>
    <w:rsid w:val="708E10B8"/>
    <w:rsid w:val="718E295C"/>
    <w:rsid w:val="71B9DEF1"/>
    <w:rsid w:val="71D68E8F"/>
    <w:rsid w:val="726211FA"/>
    <w:rsid w:val="72A619EF"/>
    <w:rsid w:val="72BD28C7"/>
    <w:rsid w:val="72E07771"/>
    <w:rsid w:val="734F0FD2"/>
    <w:rsid w:val="737415B2"/>
    <w:rsid w:val="737782FA"/>
    <w:rsid w:val="73FE15E2"/>
    <w:rsid w:val="74640AAD"/>
    <w:rsid w:val="74B66E2F"/>
    <w:rsid w:val="753D6AD7"/>
    <w:rsid w:val="756F6031"/>
    <w:rsid w:val="75752846"/>
    <w:rsid w:val="75861DE0"/>
    <w:rsid w:val="75BE4D01"/>
    <w:rsid w:val="75C537CD"/>
    <w:rsid w:val="75ED5D32"/>
    <w:rsid w:val="75F7986D"/>
    <w:rsid w:val="761E723F"/>
    <w:rsid w:val="7621652A"/>
    <w:rsid w:val="767F21FC"/>
    <w:rsid w:val="76C94E97"/>
    <w:rsid w:val="772B62BA"/>
    <w:rsid w:val="775E8BE0"/>
    <w:rsid w:val="77D731B2"/>
    <w:rsid w:val="77EE2232"/>
    <w:rsid w:val="77EE2B35"/>
    <w:rsid w:val="77F78E5A"/>
    <w:rsid w:val="77F79C87"/>
    <w:rsid w:val="77FB7C32"/>
    <w:rsid w:val="77FED90E"/>
    <w:rsid w:val="78AE0E5B"/>
    <w:rsid w:val="78FFED4B"/>
    <w:rsid w:val="795532B1"/>
    <w:rsid w:val="79B78283"/>
    <w:rsid w:val="79BD07B4"/>
    <w:rsid w:val="79D0253E"/>
    <w:rsid w:val="79EFA7F3"/>
    <w:rsid w:val="79F7B33A"/>
    <w:rsid w:val="7A41363F"/>
    <w:rsid w:val="7A5FC09C"/>
    <w:rsid w:val="7A69A029"/>
    <w:rsid w:val="7A903C7E"/>
    <w:rsid w:val="7A9FE6A1"/>
    <w:rsid w:val="7ABDC7F7"/>
    <w:rsid w:val="7ADAAE1A"/>
    <w:rsid w:val="7AEB8721"/>
    <w:rsid w:val="7AEF905F"/>
    <w:rsid w:val="7AF7DB34"/>
    <w:rsid w:val="7AF8CBB4"/>
    <w:rsid w:val="7B0B2293"/>
    <w:rsid w:val="7B5D40A8"/>
    <w:rsid w:val="7BAECD8E"/>
    <w:rsid w:val="7BBDD95A"/>
    <w:rsid w:val="7BDFE7AB"/>
    <w:rsid w:val="7C126E81"/>
    <w:rsid w:val="7C6A0C2B"/>
    <w:rsid w:val="7C75772A"/>
    <w:rsid w:val="7C7A9AB6"/>
    <w:rsid w:val="7C8F034D"/>
    <w:rsid w:val="7C96D794"/>
    <w:rsid w:val="7C9790BD"/>
    <w:rsid w:val="7C9A45E8"/>
    <w:rsid w:val="7CCF418F"/>
    <w:rsid w:val="7CEA9EFA"/>
    <w:rsid w:val="7CF4BC7D"/>
    <w:rsid w:val="7CF6B899"/>
    <w:rsid w:val="7D253A4A"/>
    <w:rsid w:val="7D2A0123"/>
    <w:rsid w:val="7D5333FA"/>
    <w:rsid w:val="7D659D25"/>
    <w:rsid w:val="7D690EE2"/>
    <w:rsid w:val="7DA1AAF4"/>
    <w:rsid w:val="7DB66434"/>
    <w:rsid w:val="7DBF7E54"/>
    <w:rsid w:val="7DDFC53D"/>
    <w:rsid w:val="7DEDF204"/>
    <w:rsid w:val="7DF61FB2"/>
    <w:rsid w:val="7E6B34CC"/>
    <w:rsid w:val="7E7AF17E"/>
    <w:rsid w:val="7E8794CC"/>
    <w:rsid w:val="7EEA5C7C"/>
    <w:rsid w:val="7EF8981A"/>
    <w:rsid w:val="7EFAF087"/>
    <w:rsid w:val="7EFB919C"/>
    <w:rsid w:val="7F2D745D"/>
    <w:rsid w:val="7F3A5E3D"/>
    <w:rsid w:val="7F5F7FB2"/>
    <w:rsid w:val="7F6511C5"/>
    <w:rsid w:val="7F6BBE5D"/>
    <w:rsid w:val="7F766A90"/>
    <w:rsid w:val="7F771F4E"/>
    <w:rsid w:val="7F7D58EC"/>
    <w:rsid w:val="7F7EF7EC"/>
    <w:rsid w:val="7F8F3690"/>
    <w:rsid w:val="7F9FCFF1"/>
    <w:rsid w:val="7FBF4AFF"/>
    <w:rsid w:val="7FCB7F2B"/>
    <w:rsid w:val="7FD71871"/>
    <w:rsid w:val="7FDB2A3B"/>
    <w:rsid w:val="7FFAE76A"/>
    <w:rsid w:val="7FFD4AC4"/>
    <w:rsid w:val="7FFD8839"/>
    <w:rsid w:val="7FFDB6B7"/>
    <w:rsid w:val="7FFEB9BB"/>
    <w:rsid w:val="7FFF5BAD"/>
    <w:rsid w:val="81EF6378"/>
    <w:rsid w:val="8F7D5A20"/>
    <w:rsid w:val="93FF2690"/>
    <w:rsid w:val="97E25E82"/>
    <w:rsid w:val="99FD5B98"/>
    <w:rsid w:val="9B773D9C"/>
    <w:rsid w:val="9B778DA2"/>
    <w:rsid w:val="9BB3A69C"/>
    <w:rsid w:val="9BFDEA72"/>
    <w:rsid w:val="9D4B5CFF"/>
    <w:rsid w:val="9D6BD125"/>
    <w:rsid w:val="9FDF05CA"/>
    <w:rsid w:val="A7F73B22"/>
    <w:rsid w:val="ABDED88B"/>
    <w:rsid w:val="ADE3C1E5"/>
    <w:rsid w:val="ADFD0D49"/>
    <w:rsid w:val="AEB6B851"/>
    <w:rsid w:val="AF7E2A49"/>
    <w:rsid w:val="AFDBA861"/>
    <w:rsid w:val="AFDFA3FC"/>
    <w:rsid w:val="AFE38BD3"/>
    <w:rsid w:val="B19EDF0D"/>
    <w:rsid w:val="B2FED83E"/>
    <w:rsid w:val="B3FB5F40"/>
    <w:rsid w:val="B3FCE15A"/>
    <w:rsid w:val="B3FED246"/>
    <w:rsid w:val="B4BFBC0D"/>
    <w:rsid w:val="B5CFB425"/>
    <w:rsid w:val="B6BA5240"/>
    <w:rsid w:val="B77B2B53"/>
    <w:rsid w:val="B77BD25F"/>
    <w:rsid w:val="B7B50914"/>
    <w:rsid w:val="B9FB3499"/>
    <w:rsid w:val="BB7F1F22"/>
    <w:rsid w:val="BC748F2B"/>
    <w:rsid w:val="BD9E4268"/>
    <w:rsid w:val="BDDFF3CD"/>
    <w:rsid w:val="BDE54D0E"/>
    <w:rsid w:val="BE7F909E"/>
    <w:rsid w:val="BECF791E"/>
    <w:rsid w:val="BEDD774D"/>
    <w:rsid w:val="BEDFDA40"/>
    <w:rsid w:val="BEECB8D0"/>
    <w:rsid w:val="BFBDC979"/>
    <w:rsid w:val="C2FEE2C7"/>
    <w:rsid w:val="CCBB2747"/>
    <w:rsid w:val="CDBD2303"/>
    <w:rsid w:val="CDEF5761"/>
    <w:rsid w:val="CF3BC88F"/>
    <w:rsid w:val="CF7F50C2"/>
    <w:rsid w:val="CFF395D7"/>
    <w:rsid w:val="CFFE02BA"/>
    <w:rsid w:val="CFFF8B5F"/>
    <w:rsid w:val="D62251BD"/>
    <w:rsid w:val="D7FD49C3"/>
    <w:rsid w:val="D7FF8180"/>
    <w:rsid w:val="DA91BD7E"/>
    <w:rsid w:val="DBFD60EF"/>
    <w:rsid w:val="DC3FD340"/>
    <w:rsid w:val="DD8F4CE4"/>
    <w:rsid w:val="DD8FAAB8"/>
    <w:rsid w:val="DDFD291F"/>
    <w:rsid w:val="DE7F9FDB"/>
    <w:rsid w:val="DEEEE4A8"/>
    <w:rsid w:val="DF5DC3D1"/>
    <w:rsid w:val="DF7FA6DB"/>
    <w:rsid w:val="DFB66086"/>
    <w:rsid w:val="DFD6C0B0"/>
    <w:rsid w:val="DFE7A6B7"/>
    <w:rsid w:val="DFECCAA9"/>
    <w:rsid w:val="DFEF9643"/>
    <w:rsid w:val="DFFAD030"/>
    <w:rsid w:val="DFFCCCAF"/>
    <w:rsid w:val="E35FE1D8"/>
    <w:rsid w:val="E3EF03D0"/>
    <w:rsid w:val="E57F0D1A"/>
    <w:rsid w:val="E65EA326"/>
    <w:rsid w:val="E6BBA077"/>
    <w:rsid w:val="E79FE765"/>
    <w:rsid w:val="E7BFE406"/>
    <w:rsid w:val="E7EABE92"/>
    <w:rsid w:val="E7FBE67B"/>
    <w:rsid w:val="E7FEE109"/>
    <w:rsid w:val="EAFC13D3"/>
    <w:rsid w:val="EB5AD383"/>
    <w:rsid w:val="EB6FC471"/>
    <w:rsid w:val="ECEF4489"/>
    <w:rsid w:val="EDA3896C"/>
    <w:rsid w:val="EDD3966C"/>
    <w:rsid w:val="EE3BCE58"/>
    <w:rsid w:val="EEFAC882"/>
    <w:rsid w:val="EFCDB6EF"/>
    <w:rsid w:val="EFCFDE36"/>
    <w:rsid w:val="EFD60FBB"/>
    <w:rsid w:val="EFED9682"/>
    <w:rsid w:val="EFFBBA31"/>
    <w:rsid w:val="EFFF0FAE"/>
    <w:rsid w:val="F0AF6325"/>
    <w:rsid w:val="F0FF417B"/>
    <w:rsid w:val="F1A3109C"/>
    <w:rsid w:val="F2BFE505"/>
    <w:rsid w:val="F35B85AF"/>
    <w:rsid w:val="F3BF5D41"/>
    <w:rsid w:val="F3ECC856"/>
    <w:rsid w:val="F3EF74D0"/>
    <w:rsid w:val="F3FD0BEB"/>
    <w:rsid w:val="F3FF428F"/>
    <w:rsid w:val="F5BD5434"/>
    <w:rsid w:val="F65BA233"/>
    <w:rsid w:val="F6BF8F78"/>
    <w:rsid w:val="F6CEFB73"/>
    <w:rsid w:val="F6DC12E0"/>
    <w:rsid w:val="F7A77693"/>
    <w:rsid w:val="F7B2C6EC"/>
    <w:rsid w:val="F7CEAE53"/>
    <w:rsid w:val="F7CEFBEA"/>
    <w:rsid w:val="F7D36E8D"/>
    <w:rsid w:val="F7EEB119"/>
    <w:rsid w:val="F7F97C73"/>
    <w:rsid w:val="F7FF1A69"/>
    <w:rsid w:val="F8FB9995"/>
    <w:rsid w:val="F8FEB73A"/>
    <w:rsid w:val="F97DE9D7"/>
    <w:rsid w:val="F9B6691A"/>
    <w:rsid w:val="FAD39A79"/>
    <w:rsid w:val="FB7B2B62"/>
    <w:rsid w:val="FB9F628C"/>
    <w:rsid w:val="FBAF35BC"/>
    <w:rsid w:val="FBAF6720"/>
    <w:rsid w:val="FBBE96D7"/>
    <w:rsid w:val="FBBFD154"/>
    <w:rsid w:val="FBD524EE"/>
    <w:rsid w:val="FBDF8C37"/>
    <w:rsid w:val="FBF72512"/>
    <w:rsid w:val="FBF76726"/>
    <w:rsid w:val="FBFADBD7"/>
    <w:rsid w:val="FBFC97D4"/>
    <w:rsid w:val="FBFDBE6C"/>
    <w:rsid w:val="FC226498"/>
    <w:rsid w:val="FC7FD35C"/>
    <w:rsid w:val="FD338641"/>
    <w:rsid w:val="FD3D45C4"/>
    <w:rsid w:val="FD3D6202"/>
    <w:rsid w:val="FD6EDA5E"/>
    <w:rsid w:val="FD7EE5D8"/>
    <w:rsid w:val="FDBB10B0"/>
    <w:rsid w:val="FDBECB99"/>
    <w:rsid w:val="FDBFDCA4"/>
    <w:rsid w:val="FDDB29C8"/>
    <w:rsid w:val="FDEF6915"/>
    <w:rsid w:val="FDF282AF"/>
    <w:rsid w:val="FDFA6483"/>
    <w:rsid w:val="FDFD66D6"/>
    <w:rsid w:val="FDFDBD3D"/>
    <w:rsid w:val="FDFF4E94"/>
    <w:rsid w:val="FE675C0F"/>
    <w:rsid w:val="FE9FD5E2"/>
    <w:rsid w:val="FEA537DC"/>
    <w:rsid w:val="FECED1FF"/>
    <w:rsid w:val="FEDFBCE5"/>
    <w:rsid w:val="FEE79F9F"/>
    <w:rsid w:val="FEFB635A"/>
    <w:rsid w:val="FF1F9879"/>
    <w:rsid w:val="FF328702"/>
    <w:rsid w:val="FF57AD4F"/>
    <w:rsid w:val="FF599DF3"/>
    <w:rsid w:val="FF5DA66C"/>
    <w:rsid w:val="FF672B98"/>
    <w:rsid w:val="FF7653E2"/>
    <w:rsid w:val="FF7AE8AD"/>
    <w:rsid w:val="FF7D41AA"/>
    <w:rsid w:val="FF7D97DF"/>
    <w:rsid w:val="FF7ED386"/>
    <w:rsid w:val="FF7FA335"/>
    <w:rsid w:val="FF97B779"/>
    <w:rsid w:val="FFB75634"/>
    <w:rsid w:val="FFBAC4D4"/>
    <w:rsid w:val="FFBF2FF3"/>
    <w:rsid w:val="FFDEE842"/>
    <w:rsid w:val="FFE541C3"/>
    <w:rsid w:val="FFEB7D06"/>
    <w:rsid w:val="FFEC97D1"/>
    <w:rsid w:val="FFECC893"/>
    <w:rsid w:val="FFF37EDB"/>
    <w:rsid w:val="FFF48FED"/>
    <w:rsid w:val="FFF61468"/>
    <w:rsid w:val="FFF6E513"/>
    <w:rsid w:val="FFFA4477"/>
    <w:rsid w:val="FFFA4985"/>
    <w:rsid w:val="FFFB76EB"/>
    <w:rsid w:val="FFFB8D27"/>
    <w:rsid w:val="FFFC8B7D"/>
    <w:rsid w:val="FFFE4663"/>
    <w:rsid w:val="FFFF4A3C"/>
    <w:rsid w:val="FFFF9E4F"/>
    <w:rsid w:val="FFFFC7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1"/>
    <w:qFormat/>
    <w:uiPriority w:val="0"/>
    <w:pPr>
      <w:keepNext/>
      <w:keepLines/>
      <w:spacing w:before="340" w:after="330" w:line="578" w:lineRule="auto"/>
      <w:outlineLvl w:val="0"/>
    </w:pPr>
    <w:rPr>
      <w:rFonts w:ascii="等线" w:hAnsi="等线" w:eastAsia="等线"/>
      <w:b/>
      <w:bCs/>
      <w:kern w:val="44"/>
      <w:sz w:val="44"/>
      <w:szCs w:val="44"/>
    </w:rPr>
  </w:style>
  <w:style w:type="paragraph" w:styleId="3">
    <w:name w:val="heading 2"/>
    <w:basedOn w:val="1"/>
    <w:next w:val="1"/>
    <w:link w:val="42"/>
    <w:qFormat/>
    <w:uiPriority w:val="0"/>
    <w:pPr>
      <w:keepNext/>
      <w:keepLines/>
      <w:spacing w:before="260" w:after="260" w:line="416" w:lineRule="auto"/>
      <w:outlineLvl w:val="1"/>
    </w:pPr>
    <w:rPr>
      <w:rFonts w:ascii="Calibri Light" w:hAnsi="Calibri Light" w:cs="Mongolian Baiti"/>
      <w:b/>
      <w:bCs/>
      <w:sz w:val="32"/>
      <w:szCs w:val="32"/>
    </w:rPr>
  </w:style>
  <w:style w:type="paragraph" w:styleId="4">
    <w:name w:val="heading 3"/>
    <w:basedOn w:val="1"/>
    <w:next w:val="1"/>
    <w:link w:val="43"/>
    <w:qFormat/>
    <w:uiPriority w:val="0"/>
    <w:pPr>
      <w:keepNext/>
      <w:keepLines/>
      <w:spacing w:before="260" w:after="260" w:line="416" w:lineRule="auto"/>
      <w:outlineLvl w:val="2"/>
    </w:pPr>
    <w:rPr>
      <w:b/>
      <w:bCs/>
      <w:sz w:val="32"/>
      <w:szCs w:val="32"/>
    </w:rPr>
  </w:style>
  <w:style w:type="paragraph" w:styleId="5">
    <w:name w:val="heading 4"/>
    <w:basedOn w:val="1"/>
    <w:next w:val="1"/>
    <w:link w:val="9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等线" w:eastAsia="等线"/>
      <w:sz w:val="18"/>
      <w:szCs w:val="18"/>
    </w:rPr>
  </w:style>
  <w:style w:type="paragraph" w:styleId="7">
    <w:name w:val="Normal Indent"/>
    <w:basedOn w:val="1"/>
    <w:next w:val="1"/>
    <w:qFormat/>
    <w:uiPriority w:val="0"/>
    <w:pPr>
      <w:ind w:firstLine="420"/>
    </w:pPr>
  </w:style>
  <w:style w:type="paragraph" w:styleId="8">
    <w:name w:val="annotation text"/>
    <w:basedOn w:val="1"/>
    <w:link w:val="44"/>
    <w:unhideWhenUsed/>
    <w:qFormat/>
    <w:uiPriority w:val="99"/>
    <w:pPr>
      <w:jc w:val="left"/>
    </w:pPr>
  </w:style>
  <w:style w:type="paragraph" w:styleId="9">
    <w:name w:val="Salutation"/>
    <w:basedOn w:val="1"/>
    <w:next w:val="1"/>
    <w:link w:val="45"/>
    <w:qFormat/>
    <w:uiPriority w:val="0"/>
    <w:rPr>
      <w:szCs w:val="20"/>
      <w:lang w:bidi="mn-Mong-CN"/>
    </w:rPr>
  </w:style>
  <w:style w:type="paragraph" w:styleId="10">
    <w:name w:val="Body Text"/>
    <w:basedOn w:val="1"/>
    <w:link w:val="40"/>
    <w:qFormat/>
    <w:uiPriority w:val="0"/>
    <w:pPr>
      <w:spacing w:before="39"/>
      <w:ind w:left="111"/>
      <w:jc w:val="left"/>
    </w:pPr>
    <w:rPr>
      <w:rFonts w:ascii="仿宋_GB2312" w:hAnsi="仿宋_GB2312" w:eastAsia="仿宋_GB2312"/>
      <w:kern w:val="0"/>
      <w:sz w:val="30"/>
      <w:szCs w:val="30"/>
      <w:lang w:eastAsia="en-US"/>
    </w:rPr>
  </w:style>
  <w:style w:type="paragraph" w:styleId="11">
    <w:name w:val="Body Text Indent"/>
    <w:basedOn w:val="1"/>
    <w:semiHidden/>
    <w:unhideWhenUsed/>
    <w:qFormat/>
    <w:uiPriority w:val="99"/>
    <w:pPr>
      <w:spacing w:after="120"/>
      <w:ind w:left="420" w:leftChars="200"/>
    </w:pPr>
  </w:style>
  <w:style w:type="paragraph" w:styleId="12">
    <w:name w:val="toc 5"/>
    <w:basedOn w:val="1"/>
    <w:next w:val="1"/>
    <w:unhideWhenUsed/>
    <w:qFormat/>
    <w:uiPriority w:val="39"/>
    <w:pPr>
      <w:ind w:left="840"/>
      <w:jc w:val="left"/>
    </w:pPr>
    <w:rPr>
      <w:rFonts w:ascii="等线" w:eastAsia="等线"/>
      <w:sz w:val="18"/>
      <w:szCs w:val="18"/>
    </w:rPr>
  </w:style>
  <w:style w:type="paragraph" w:styleId="13">
    <w:name w:val="toc 3"/>
    <w:basedOn w:val="1"/>
    <w:next w:val="1"/>
    <w:unhideWhenUsed/>
    <w:qFormat/>
    <w:uiPriority w:val="39"/>
    <w:pPr>
      <w:ind w:left="420"/>
      <w:jc w:val="left"/>
    </w:pPr>
    <w:rPr>
      <w:rFonts w:ascii="等线" w:eastAsia="等线"/>
      <w:i/>
      <w:iCs/>
      <w:sz w:val="20"/>
      <w:szCs w:val="20"/>
    </w:rPr>
  </w:style>
  <w:style w:type="paragraph" w:styleId="14">
    <w:name w:val="toc 8"/>
    <w:basedOn w:val="1"/>
    <w:next w:val="1"/>
    <w:unhideWhenUsed/>
    <w:qFormat/>
    <w:uiPriority w:val="39"/>
    <w:pPr>
      <w:ind w:left="1470"/>
      <w:jc w:val="left"/>
    </w:pPr>
    <w:rPr>
      <w:rFonts w:ascii="等线" w:eastAsia="等线"/>
      <w:sz w:val="18"/>
      <w:szCs w:val="18"/>
    </w:rPr>
  </w:style>
  <w:style w:type="paragraph" w:styleId="15">
    <w:name w:val="Date"/>
    <w:basedOn w:val="1"/>
    <w:next w:val="1"/>
    <w:link w:val="46"/>
    <w:unhideWhenUsed/>
    <w:qFormat/>
    <w:uiPriority w:val="99"/>
    <w:pPr>
      <w:ind w:left="100" w:leftChars="2500"/>
    </w:pPr>
  </w:style>
  <w:style w:type="paragraph" w:styleId="16">
    <w:name w:val="Body Text Indent 2"/>
    <w:basedOn w:val="1"/>
    <w:next w:val="1"/>
    <w:link w:val="47"/>
    <w:qFormat/>
    <w:uiPriority w:val="0"/>
    <w:pPr>
      <w:spacing w:after="120" w:line="480" w:lineRule="auto"/>
      <w:ind w:left="420" w:leftChars="200" w:firstLine="200" w:firstLineChars="200"/>
    </w:pPr>
    <w:rPr>
      <w:szCs w:val="24"/>
    </w:rPr>
  </w:style>
  <w:style w:type="paragraph" w:styleId="17">
    <w:name w:val="endnote text"/>
    <w:basedOn w:val="1"/>
    <w:link w:val="48"/>
    <w:unhideWhenUsed/>
    <w:qFormat/>
    <w:uiPriority w:val="99"/>
    <w:pPr>
      <w:snapToGrid w:val="0"/>
      <w:jc w:val="left"/>
    </w:pPr>
  </w:style>
  <w:style w:type="paragraph" w:styleId="18">
    <w:name w:val="Balloon Text"/>
    <w:basedOn w:val="1"/>
    <w:link w:val="49"/>
    <w:unhideWhenUsed/>
    <w:qFormat/>
    <w:uiPriority w:val="99"/>
    <w:rPr>
      <w:sz w:val="18"/>
      <w:szCs w:val="18"/>
    </w:rPr>
  </w:style>
  <w:style w:type="paragraph" w:styleId="19">
    <w:name w:val="footer"/>
    <w:basedOn w:val="1"/>
    <w:link w:val="50"/>
    <w:unhideWhenUsed/>
    <w:qFormat/>
    <w:uiPriority w:val="99"/>
    <w:pPr>
      <w:tabs>
        <w:tab w:val="center" w:pos="4153"/>
        <w:tab w:val="right" w:pos="8306"/>
      </w:tabs>
      <w:snapToGrid w:val="0"/>
      <w:jc w:val="left"/>
    </w:pPr>
    <w:rPr>
      <w:rFonts w:ascii="等线" w:hAnsi="等线" w:eastAsia="等线"/>
      <w:kern w:val="0"/>
      <w:sz w:val="18"/>
      <w:szCs w:val="18"/>
    </w:rPr>
  </w:style>
  <w:style w:type="paragraph" w:styleId="20">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before="120" w:after="120"/>
      <w:jc w:val="left"/>
    </w:pPr>
    <w:rPr>
      <w:rFonts w:ascii="等线" w:eastAsia="等线"/>
      <w:b/>
      <w:bCs/>
      <w:caps/>
      <w:sz w:val="20"/>
      <w:szCs w:val="20"/>
    </w:rPr>
  </w:style>
  <w:style w:type="paragraph" w:styleId="22">
    <w:name w:val="toc 4"/>
    <w:basedOn w:val="1"/>
    <w:next w:val="1"/>
    <w:unhideWhenUsed/>
    <w:qFormat/>
    <w:uiPriority w:val="39"/>
    <w:pPr>
      <w:ind w:left="630"/>
      <w:jc w:val="left"/>
    </w:pPr>
    <w:rPr>
      <w:rFonts w:ascii="等线" w:eastAsia="等线"/>
      <w:sz w:val="18"/>
      <w:szCs w:val="18"/>
    </w:rPr>
  </w:style>
  <w:style w:type="paragraph" w:styleId="23">
    <w:name w:val="footnote text"/>
    <w:basedOn w:val="1"/>
    <w:link w:val="52"/>
    <w:unhideWhenUsed/>
    <w:qFormat/>
    <w:uiPriority w:val="99"/>
    <w:pPr>
      <w:snapToGrid w:val="0"/>
      <w:jc w:val="left"/>
    </w:pPr>
    <w:rPr>
      <w:sz w:val="18"/>
      <w:szCs w:val="18"/>
    </w:rPr>
  </w:style>
  <w:style w:type="paragraph" w:styleId="24">
    <w:name w:val="toc 6"/>
    <w:basedOn w:val="1"/>
    <w:next w:val="1"/>
    <w:unhideWhenUsed/>
    <w:qFormat/>
    <w:uiPriority w:val="39"/>
    <w:pPr>
      <w:ind w:left="1050"/>
      <w:jc w:val="left"/>
    </w:pPr>
    <w:rPr>
      <w:rFonts w:ascii="等线" w:eastAsia="等线"/>
      <w:sz w:val="18"/>
      <w:szCs w:val="18"/>
    </w:rPr>
  </w:style>
  <w:style w:type="paragraph" w:styleId="25">
    <w:name w:val="toc 2"/>
    <w:basedOn w:val="1"/>
    <w:next w:val="1"/>
    <w:unhideWhenUsed/>
    <w:qFormat/>
    <w:uiPriority w:val="39"/>
    <w:pPr>
      <w:ind w:left="210"/>
      <w:jc w:val="left"/>
    </w:pPr>
    <w:rPr>
      <w:rFonts w:ascii="等线" w:eastAsia="等线"/>
      <w:smallCaps/>
      <w:sz w:val="20"/>
      <w:szCs w:val="20"/>
    </w:rPr>
  </w:style>
  <w:style w:type="paragraph" w:styleId="26">
    <w:name w:val="toc 9"/>
    <w:basedOn w:val="1"/>
    <w:next w:val="1"/>
    <w:unhideWhenUsed/>
    <w:qFormat/>
    <w:uiPriority w:val="39"/>
    <w:pPr>
      <w:ind w:left="1680"/>
      <w:jc w:val="left"/>
    </w:pPr>
    <w:rPr>
      <w:rFonts w:ascii="等线" w:eastAsia="等线"/>
      <w:sz w:val="18"/>
      <w:szCs w:val="18"/>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8">
    <w:name w:val="annotation subject"/>
    <w:basedOn w:val="8"/>
    <w:next w:val="8"/>
    <w:link w:val="53"/>
    <w:unhideWhenUsed/>
    <w:qFormat/>
    <w:uiPriority w:val="99"/>
    <w:rPr>
      <w:b/>
      <w:bCs/>
    </w:rPr>
  </w:style>
  <w:style w:type="paragraph" w:styleId="29">
    <w:name w:val="Body Text First Indent 2"/>
    <w:basedOn w:val="11"/>
    <w:unhideWhenUsed/>
    <w:qFormat/>
    <w:uiPriority w:val="99"/>
    <w:pPr>
      <w:ind w:firstLine="420"/>
    </w:pPr>
  </w:style>
  <w:style w:type="table" w:styleId="31">
    <w:name w:val="Table Grid"/>
    <w:basedOn w:val="30"/>
    <w:qFormat/>
    <w:uiPriority w:val="59"/>
    <w:rPr>
      <w:rFonts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endnote reference"/>
    <w:unhideWhenUsed/>
    <w:qFormat/>
    <w:uiPriority w:val="99"/>
    <w:rPr>
      <w:vertAlign w:val="superscript"/>
    </w:rPr>
  </w:style>
  <w:style w:type="character" w:styleId="35">
    <w:name w:val="page number"/>
    <w:qFormat/>
    <w:uiPriority w:val="0"/>
    <w:rPr>
      <w:rFonts w:ascii="Times New Roman" w:hAnsi="Times New Roman" w:eastAsia="宋体"/>
      <w:sz w:val="18"/>
    </w:rPr>
  </w:style>
  <w:style w:type="character" w:styleId="36">
    <w:name w:val="Emphasis"/>
    <w:qFormat/>
    <w:uiPriority w:val="20"/>
    <w:rPr>
      <w:i/>
    </w:rPr>
  </w:style>
  <w:style w:type="character" w:styleId="37">
    <w:name w:val="Hyperlink"/>
    <w:basedOn w:val="32"/>
    <w:unhideWhenUsed/>
    <w:qFormat/>
    <w:uiPriority w:val="99"/>
    <w:rPr>
      <w:color w:val="0563C1"/>
      <w:u w:val="single"/>
    </w:rPr>
  </w:style>
  <w:style w:type="character" w:styleId="38">
    <w:name w:val="annotation reference"/>
    <w:unhideWhenUsed/>
    <w:qFormat/>
    <w:uiPriority w:val="99"/>
    <w:rPr>
      <w:sz w:val="21"/>
      <w:szCs w:val="21"/>
    </w:rPr>
  </w:style>
  <w:style w:type="character" w:styleId="39">
    <w:name w:val="footnote reference"/>
    <w:unhideWhenUsed/>
    <w:qFormat/>
    <w:uiPriority w:val="99"/>
    <w:rPr>
      <w:vertAlign w:val="superscript"/>
    </w:rPr>
  </w:style>
  <w:style w:type="character" w:customStyle="1" w:styleId="40">
    <w:name w:val="正文文本 字符1"/>
    <w:link w:val="10"/>
    <w:qFormat/>
    <w:uiPriority w:val="0"/>
    <w:rPr>
      <w:rFonts w:ascii="仿宋_GB2312" w:hAnsi="仿宋_GB2312" w:eastAsia="仿宋_GB2312" w:cs="Times New Roman"/>
      <w:sz w:val="30"/>
      <w:szCs w:val="30"/>
      <w:lang w:eastAsia="en-US" w:bidi="ar-SA"/>
    </w:rPr>
  </w:style>
  <w:style w:type="character" w:customStyle="1" w:styleId="41">
    <w:name w:val="标题 1 字符1"/>
    <w:link w:val="2"/>
    <w:qFormat/>
    <w:uiPriority w:val="0"/>
    <w:rPr>
      <w:rFonts w:ascii="等线" w:hAnsi="等线" w:eastAsia="等线" w:cs="Times New Roman"/>
      <w:b/>
      <w:bCs/>
      <w:kern w:val="44"/>
      <w:sz w:val="44"/>
      <w:szCs w:val="44"/>
      <w:lang w:bidi="ar-SA"/>
    </w:rPr>
  </w:style>
  <w:style w:type="character" w:customStyle="1" w:styleId="42">
    <w:name w:val="标题 2 字符"/>
    <w:link w:val="3"/>
    <w:qFormat/>
    <w:uiPriority w:val="9"/>
    <w:rPr>
      <w:rFonts w:ascii="Calibri Light" w:hAnsi="Calibri Light" w:eastAsia="宋体" w:cs="Mongolian Baiti"/>
      <w:b/>
      <w:bCs/>
      <w:sz w:val="32"/>
      <w:szCs w:val="32"/>
      <w:lang w:bidi="ar-SA"/>
    </w:rPr>
  </w:style>
  <w:style w:type="character" w:customStyle="1" w:styleId="43">
    <w:name w:val="标题 3 字符"/>
    <w:link w:val="4"/>
    <w:semiHidden/>
    <w:qFormat/>
    <w:uiPriority w:val="9"/>
    <w:rPr>
      <w:rFonts w:ascii="Times New Roman" w:hAnsi="Times New Roman" w:eastAsia="宋体" w:cs="Times New Roman"/>
      <w:b/>
      <w:bCs/>
      <w:kern w:val="2"/>
      <w:sz w:val="32"/>
      <w:szCs w:val="32"/>
      <w:lang w:bidi="ar-SA"/>
    </w:rPr>
  </w:style>
  <w:style w:type="character" w:customStyle="1" w:styleId="44">
    <w:name w:val="批注文字 字符"/>
    <w:link w:val="8"/>
    <w:qFormat/>
    <w:uiPriority w:val="99"/>
    <w:rPr>
      <w:rFonts w:ascii="Times New Roman" w:hAnsi="Times New Roman" w:eastAsia="宋体" w:cs="Times New Roman"/>
      <w:szCs w:val="22"/>
      <w:lang w:bidi="ar-SA"/>
    </w:rPr>
  </w:style>
  <w:style w:type="character" w:customStyle="1" w:styleId="45">
    <w:name w:val="称呼 字符"/>
    <w:link w:val="9"/>
    <w:qFormat/>
    <w:uiPriority w:val="0"/>
    <w:rPr>
      <w:rFonts w:ascii="Times New Roman" w:hAnsi="Times New Roman" w:eastAsia="宋体" w:cs="Times New Roman"/>
      <w:kern w:val="2"/>
      <w:sz w:val="21"/>
    </w:rPr>
  </w:style>
  <w:style w:type="character" w:customStyle="1" w:styleId="46">
    <w:name w:val="日期 字符"/>
    <w:link w:val="15"/>
    <w:semiHidden/>
    <w:qFormat/>
    <w:uiPriority w:val="99"/>
    <w:rPr>
      <w:rFonts w:ascii="Times New Roman" w:hAnsi="Times New Roman" w:eastAsia="宋体" w:cs="Times New Roman"/>
      <w:kern w:val="2"/>
      <w:sz w:val="21"/>
      <w:szCs w:val="22"/>
      <w:lang w:bidi="ar-SA"/>
    </w:rPr>
  </w:style>
  <w:style w:type="character" w:customStyle="1" w:styleId="47">
    <w:name w:val="正文文本缩进 2 字符"/>
    <w:link w:val="16"/>
    <w:qFormat/>
    <w:uiPriority w:val="0"/>
    <w:rPr>
      <w:rFonts w:ascii="Times New Roman" w:hAnsi="Times New Roman" w:eastAsia="宋体" w:cs="Times New Roman"/>
      <w:kern w:val="2"/>
      <w:sz w:val="21"/>
      <w:szCs w:val="24"/>
      <w:lang w:bidi="ar-SA"/>
    </w:rPr>
  </w:style>
  <w:style w:type="character" w:customStyle="1" w:styleId="48">
    <w:name w:val="尾注文本 字符"/>
    <w:link w:val="17"/>
    <w:semiHidden/>
    <w:qFormat/>
    <w:uiPriority w:val="99"/>
    <w:rPr>
      <w:rFonts w:ascii="Times New Roman" w:hAnsi="Times New Roman" w:eastAsia="宋体" w:cs="Times New Roman"/>
      <w:kern w:val="2"/>
      <w:sz w:val="21"/>
      <w:szCs w:val="22"/>
      <w:lang w:bidi="ar-SA"/>
    </w:rPr>
  </w:style>
  <w:style w:type="character" w:customStyle="1" w:styleId="49">
    <w:name w:val="批注框文本 字符"/>
    <w:link w:val="18"/>
    <w:semiHidden/>
    <w:qFormat/>
    <w:uiPriority w:val="99"/>
    <w:rPr>
      <w:rFonts w:ascii="Times New Roman" w:hAnsi="Times New Roman" w:eastAsia="宋体" w:cs="Times New Roman"/>
      <w:sz w:val="18"/>
      <w:szCs w:val="18"/>
      <w:lang w:bidi="ar-SA"/>
    </w:rPr>
  </w:style>
  <w:style w:type="character" w:customStyle="1" w:styleId="50">
    <w:name w:val="页脚 字符"/>
    <w:link w:val="19"/>
    <w:qFormat/>
    <w:uiPriority w:val="99"/>
    <w:rPr>
      <w:rFonts w:ascii="等线" w:hAnsi="等线" w:eastAsia="等线" w:cs="Times New Roman"/>
      <w:sz w:val="18"/>
      <w:szCs w:val="18"/>
      <w:lang w:bidi="ar-SA"/>
    </w:rPr>
  </w:style>
  <w:style w:type="character" w:customStyle="1" w:styleId="51">
    <w:name w:val="页眉 字符"/>
    <w:link w:val="20"/>
    <w:qFormat/>
    <w:uiPriority w:val="99"/>
    <w:rPr>
      <w:kern w:val="2"/>
      <w:sz w:val="18"/>
      <w:szCs w:val="18"/>
      <w:lang w:bidi="ar-SA"/>
    </w:rPr>
  </w:style>
  <w:style w:type="character" w:customStyle="1" w:styleId="52">
    <w:name w:val="脚注文本 字符"/>
    <w:link w:val="23"/>
    <w:semiHidden/>
    <w:qFormat/>
    <w:uiPriority w:val="99"/>
    <w:rPr>
      <w:rFonts w:ascii="Times New Roman" w:hAnsi="Times New Roman" w:eastAsia="宋体" w:cs="Times New Roman"/>
      <w:kern w:val="2"/>
      <w:sz w:val="18"/>
      <w:szCs w:val="18"/>
      <w:lang w:bidi="ar-SA"/>
    </w:rPr>
  </w:style>
  <w:style w:type="character" w:customStyle="1" w:styleId="53">
    <w:name w:val="批注主题 字符"/>
    <w:link w:val="28"/>
    <w:semiHidden/>
    <w:qFormat/>
    <w:uiPriority w:val="99"/>
    <w:rPr>
      <w:rFonts w:ascii="Times New Roman" w:hAnsi="Times New Roman" w:eastAsia="宋体" w:cs="Times New Roman"/>
      <w:b/>
      <w:bCs/>
      <w:szCs w:val="22"/>
      <w:lang w:bidi="ar-SA"/>
    </w:rPr>
  </w:style>
  <w:style w:type="character" w:customStyle="1" w:styleId="54">
    <w:name w:val="标题 1 Char"/>
    <w:qFormat/>
    <w:uiPriority w:val="0"/>
    <w:rPr>
      <w:rFonts w:ascii="Times New Roman" w:hAnsi="Times New Roman" w:eastAsia="宋体" w:cs="Times New Roman"/>
      <w:b/>
      <w:bCs/>
      <w:kern w:val="44"/>
      <w:sz w:val="44"/>
      <w:szCs w:val="44"/>
      <w:lang w:bidi="ar-SA"/>
    </w:rPr>
  </w:style>
  <w:style w:type="paragraph" w:customStyle="1" w:styleId="55">
    <w:name w:val="正文 A"/>
    <w:qFormat/>
    <w:uiPriority w:val="0"/>
    <w:pPr>
      <w:widowControl w:val="0"/>
      <w:spacing w:line="360" w:lineRule="auto"/>
      <w:ind w:firstLine="198"/>
      <w:jc w:val="both"/>
    </w:pPr>
    <w:rPr>
      <w:rFonts w:ascii="Times New Roman" w:hAnsi="Times New Roman" w:eastAsia="宋体" w:cs="Arial Unicode MS"/>
      <w:color w:val="000000"/>
      <w:kern w:val="2"/>
      <w:sz w:val="21"/>
      <w:szCs w:val="28"/>
      <w:lang w:val="en-US" w:eastAsia="zh-CN" w:bidi="ar-SA"/>
    </w:rPr>
  </w:style>
  <w:style w:type="paragraph" w:customStyle="1" w:styleId="56">
    <w:name w:val="导则标题2"/>
    <w:basedOn w:val="3"/>
    <w:link w:val="57"/>
    <w:qFormat/>
    <w:uiPriority w:val="0"/>
    <w:pPr>
      <w:spacing w:before="0" w:after="0" w:line="560" w:lineRule="exact"/>
      <w:ind w:firstLine="480" w:firstLineChars="200"/>
      <w:jc w:val="center"/>
    </w:pPr>
    <w:rPr>
      <w:rFonts w:ascii="黑体" w:hAnsi="黑体" w:eastAsia="黑体" w:cs="Times New Roman"/>
      <w:b w:val="0"/>
      <w:sz w:val="24"/>
      <w:szCs w:val="24"/>
      <w:lang w:val="zh-CN"/>
    </w:rPr>
  </w:style>
  <w:style w:type="character" w:customStyle="1" w:styleId="57">
    <w:name w:val="导则标题2 Char"/>
    <w:link w:val="56"/>
    <w:qFormat/>
    <w:uiPriority w:val="0"/>
    <w:rPr>
      <w:rFonts w:ascii="黑体" w:hAnsi="黑体" w:eastAsia="黑体" w:cs="Times New Roman"/>
      <w:bCs/>
      <w:sz w:val="24"/>
      <w:szCs w:val="24"/>
      <w:lang w:val="zh-CN" w:eastAsia="zh-CN" w:bidi="ar-SA"/>
    </w:rPr>
  </w:style>
  <w:style w:type="paragraph" w:customStyle="1" w:styleId="58">
    <w:name w:val="样式 条文 + 宋体"/>
    <w:basedOn w:val="1"/>
    <w:qFormat/>
    <w:uiPriority w:val="0"/>
    <w:pPr>
      <w:adjustRightInd w:val="0"/>
      <w:snapToGrid w:val="0"/>
      <w:ind w:firstLine="600" w:firstLineChars="250"/>
    </w:pPr>
    <w:rPr>
      <w:rFonts w:ascii="宋体" w:hAnsi="宋体"/>
      <w:color w:val="000000"/>
      <w:szCs w:val="20"/>
    </w:rPr>
  </w:style>
  <w:style w:type="character" w:customStyle="1" w:styleId="59">
    <w:name w:val="正文文本 Char"/>
    <w:semiHidden/>
    <w:qFormat/>
    <w:uiPriority w:val="99"/>
    <w:rPr>
      <w:rFonts w:ascii="Times New Roman" w:hAnsi="Times New Roman" w:eastAsia="宋体" w:cs="Times New Roman"/>
      <w:kern w:val="2"/>
      <w:sz w:val="21"/>
      <w:szCs w:val="22"/>
      <w:lang w:bidi="ar-SA"/>
    </w:rPr>
  </w:style>
  <w:style w:type="paragraph" w:customStyle="1" w:styleId="60">
    <w:name w:val="样式 样式 标题 1 + 黑体 五号 + 段前: 0.5 行 段后: 0.5 行"/>
    <w:basedOn w:val="1"/>
    <w:qFormat/>
    <w:uiPriority w:val="0"/>
    <w:pPr>
      <w:keepNext/>
      <w:tabs>
        <w:tab w:val="left" w:pos="360"/>
      </w:tabs>
      <w:spacing w:before="156" w:after="156" w:line="360" w:lineRule="exact"/>
      <w:ind w:left="360" w:hanging="360"/>
      <w:outlineLvl w:val="0"/>
    </w:pPr>
    <w:rPr>
      <w:rFonts w:ascii="黑体" w:hAnsi="黑体" w:eastAsia="黑体" w:cs="宋体"/>
      <w:b/>
      <w:bCs/>
      <w:szCs w:val="21"/>
    </w:rPr>
  </w:style>
  <w:style w:type="character" w:customStyle="1" w:styleId="61">
    <w:name w:val="页脚 Char"/>
    <w:semiHidden/>
    <w:qFormat/>
    <w:uiPriority w:val="99"/>
    <w:rPr>
      <w:rFonts w:ascii="Times New Roman" w:hAnsi="Times New Roman" w:eastAsia="宋体" w:cs="Times New Roman"/>
      <w:kern w:val="2"/>
      <w:sz w:val="18"/>
      <w:szCs w:val="18"/>
      <w:lang w:bidi="ar-SA"/>
    </w:rPr>
  </w:style>
  <w:style w:type="paragraph" w:customStyle="1" w:styleId="6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3">
    <w:name w:val="发布部门"/>
    <w:next w:val="1"/>
    <w:qFormat/>
    <w:uiPriority w:val="0"/>
    <w:pPr>
      <w:jc w:val="center"/>
    </w:pPr>
    <w:rPr>
      <w:rFonts w:ascii="宋体" w:hAnsi="Times New Roman" w:eastAsia="宋体" w:cs="Times New Roman"/>
      <w:b/>
      <w:spacing w:val="20"/>
      <w:w w:val="135"/>
      <w:sz w:val="36"/>
      <w:lang w:val="en-US" w:eastAsia="zh-CN" w:bidi="ar-SA"/>
    </w:rPr>
  </w:style>
  <w:style w:type="paragraph" w:customStyle="1" w:styleId="64">
    <w:name w:val="_Style 30"/>
    <w:basedOn w:val="1"/>
    <w:next w:val="1"/>
    <w:unhideWhenUsed/>
    <w:qFormat/>
    <w:uiPriority w:val="39"/>
    <w:pPr>
      <w:spacing w:before="120" w:after="120"/>
      <w:jc w:val="left"/>
    </w:pPr>
    <w:rPr>
      <w:rFonts w:ascii="等线" w:hAnsi="等线" w:eastAsia="等线"/>
      <w:b/>
      <w:bCs/>
      <w:caps/>
      <w:sz w:val="20"/>
      <w:szCs w:val="20"/>
    </w:rPr>
  </w:style>
  <w:style w:type="character" w:customStyle="1" w:styleId="65">
    <w:name w:val="标题 1 字符"/>
    <w:qFormat/>
    <w:uiPriority w:val="0"/>
    <w:rPr>
      <w:b/>
      <w:bCs/>
      <w:kern w:val="44"/>
      <w:sz w:val="44"/>
      <w:szCs w:val="44"/>
    </w:rPr>
  </w:style>
  <w:style w:type="paragraph" w:customStyle="1" w:styleId="66">
    <w:name w:val="_Style 34"/>
    <w:basedOn w:val="1"/>
    <w:next w:val="67"/>
    <w:qFormat/>
    <w:uiPriority w:val="34"/>
    <w:pPr>
      <w:ind w:firstLine="420" w:firstLineChars="200"/>
    </w:pPr>
    <w:rPr>
      <w:rFonts w:ascii="等线" w:hAnsi="等线" w:eastAsia="等线"/>
    </w:rPr>
  </w:style>
  <w:style w:type="paragraph" w:customStyle="1" w:styleId="67">
    <w:name w:val="列出段落1"/>
    <w:basedOn w:val="1"/>
    <w:qFormat/>
    <w:uiPriority w:val="99"/>
    <w:pPr>
      <w:ind w:firstLine="420" w:firstLineChars="200"/>
    </w:pPr>
  </w:style>
  <w:style w:type="paragraph" w:customStyle="1" w:styleId="68">
    <w:name w:val="_Style 37"/>
    <w:basedOn w:val="1"/>
    <w:next w:val="67"/>
    <w:qFormat/>
    <w:uiPriority w:val="34"/>
    <w:pPr>
      <w:ind w:firstLine="420" w:firstLineChars="200"/>
    </w:pPr>
    <w:rPr>
      <w:rFonts w:ascii="等线" w:hAnsi="等线" w:eastAsia="等线"/>
    </w:rPr>
  </w:style>
  <w:style w:type="paragraph" w:customStyle="1" w:styleId="69">
    <w:name w:val="_Style 38"/>
    <w:basedOn w:val="1"/>
    <w:next w:val="67"/>
    <w:qFormat/>
    <w:uiPriority w:val="34"/>
    <w:pPr>
      <w:ind w:firstLine="420" w:firstLineChars="200"/>
    </w:pPr>
    <w:rPr>
      <w:rFonts w:ascii="等线" w:hAnsi="等线" w:eastAsia="等线"/>
    </w:rPr>
  </w:style>
  <w:style w:type="paragraph" w:customStyle="1" w:styleId="70">
    <w:name w:val="_Style 39"/>
    <w:basedOn w:val="1"/>
    <w:next w:val="67"/>
    <w:qFormat/>
    <w:uiPriority w:val="34"/>
    <w:pPr>
      <w:ind w:firstLine="420" w:firstLineChars="200"/>
    </w:pPr>
    <w:rPr>
      <w:rFonts w:ascii="等线" w:hAnsi="等线" w:eastAsia="等线"/>
    </w:rPr>
  </w:style>
  <w:style w:type="paragraph" w:customStyle="1" w:styleId="71">
    <w:name w:val="_Style 40"/>
    <w:basedOn w:val="1"/>
    <w:next w:val="67"/>
    <w:qFormat/>
    <w:uiPriority w:val="34"/>
    <w:pPr>
      <w:ind w:firstLine="420" w:firstLineChars="200"/>
    </w:pPr>
    <w:rPr>
      <w:rFonts w:ascii="等线" w:hAnsi="等线" w:eastAsia="等线"/>
    </w:rPr>
  </w:style>
  <w:style w:type="character" w:customStyle="1" w:styleId="72">
    <w:name w:val="款 Char Char"/>
    <w:link w:val="73"/>
    <w:qFormat/>
    <w:uiPriority w:val="0"/>
    <w:rPr>
      <w:rFonts w:ascii="Times New Roman" w:hAnsi="Times New Roman" w:eastAsia="黑体" w:cs="宋体"/>
      <w:color w:val="000000"/>
    </w:rPr>
  </w:style>
  <w:style w:type="paragraph" w:customStyle="1" w:styleId="73">
    <w:name w:val="款 Char"/>
    <w:basedOn w:val="1"/>
    <w:link w:val="72"/>
    <w:qFormat/>
    <w:uiPriority w:val="0"/>
    <w:pPr>
      <w:spacing w:line="360" w:lineRule="auto"/>
      <w:ind w:firstLine="200" w:firstLineChars="200"/>
      <w:jc w:val="left"/>
    </w:pPr>
    <w:rPr>
      <w:rFonts w:eastAsia="黑体" w:cs="宋体"/>
      <w:color w:val="000000"/>
      <w:kern w:val="0"/>
      <w:sz w:val="20"/>
      <w:szCs w:val="20"/>
      <w:lang w:bidi="mn-Mong-CN"/>
    </w:rPr>
  </w:style>
  <w:style w:type="character" w:customStyle="1" w:styleId="74">
    <w:name w:val="正文文本 字符"/>
    <w:qFormat/>
    <w:uiPriority w:val="1"/>
    <w:rPr>
      <w:rFonts w:ascii="仿宋_GB2312" w:hAnsi="仿宋_GB2312" w:eastAsia="仿宋_GB2312"/>
      <w:kern w:val="0"/>
      <w:sz w:val="30"/>
      <w:szCs w:val="30"/>
      <w:lang w:eastAsia="en-US"/>
    </w:rPr>
  </w:style>
  <w:style w:type="paragraph" w:customStyle="1" w:styleId="75">
    <w:name w:val="Table Paragraph"/>
    <w:basedOn w:val="1"/>
    <w:qFormat/>
    <w:uiPriority w:val="1"/>
    <w:pPr>
      <w:jc w:val="left"/>
    </w:pPr>
    <w:rPr>
      <w:rFonts w:ascii="等线" w:hAnsi="等线" w:eastAsia="等线"/>
      <w:kern w:val="0"/>
      <w:sz w:val="22"/>
      <w:lang w:eastAsia="en-US"/>
    </w:rPr>
  </w:style>
  <w:style w:type="paragraph" w:customStyle="1" w:styleId="76">
    <w:name w:val="附录标题"/>
    <w:qFormat/>
    <w:uiPriority w:val="0"/>
    <w:pPr>
      <w:widowControl w:val="0"/>
      <w:topLinePunct/>
      <w:adjustRightInd w:val="0"/>
      <w:jc w:val="center"/>
    </w:pPr>
    <w:rPr>
      <w:rFonts w:ascii="Arial" w:hAnsi="Arial" w:eastAsia="黑体" w:cs="Times New Roman"/>
      <w:kern w:val="21"/>
      <w:sz w:val="21"/>
      <w:lang w:val="en-US" w:eastAsia="zh-CN" w:bidi="ar-SA"/>
    </w:rPr>
  </w:style>
  <w:style w:type="paragraph" w:customStyle="1" w:styleId="77">
    <w:name w:val="TOC 标题1"/>
    <w:basedOn w:val="2"/>
    <w:next w:val="1"/>
    <w:unhideWhenUsed/>
    <w:qFormat/>
    <w:uiPriority w:val="39"/>
    <w:pPr>
      <w:widowControl/>
      <w:spacing w:before="240" w:after="0" w:line="259" w:lineRule="auto"/>
      <w:jc w:val="left"/>
      <w:outlineLvl w:val="9"/>
    </w:pPr>
    <w:rPr>
      <w:rFonts w:ascii="Calibri Light" w:hAnsi="Calibri Light" w:eastAsia="宋体" w:cs="Mongolian Baiti"/>
      <w:b w:val="0"/>
      <w:bCs w:val="0"/>
      <w:color w:val="2E75B5"/>
      <w:kern w:val="0"/>
      <w:sz w:val="32"/>
      <w:szCs w:val="32"/>
      <w:lang w:bidi="mn-Mong-CN"/>
    </w:rPr>
  </w:style>
  <w:style w:type="paragraph" w:customStyle="1" w:styleId="78">
    <w:name w:val="Char"/>
    <w:basedOn w:val="1"/>
    <w:qFormat/>
    <w:uiPriority w:val="0"/>
    <w:rPr>
      <w:szCs w:val="20"/>
      <w:lang w:bidi="mn-Mong-CN"/>
    </w:rPr>
  </w:style>
  <w:style w:type="paragraph" w:customStyle="1" w:styleId="79">
    <w:name w:val="Body text|1"/>
    <w:basedOn w:val="1"/>
    <w:qFormat/>
    <w:uiPriority w:val="0"/>
    <w:pPr>
      <w:spacing w:line="343" w:lineRule="auto"/>
      <w:ind w:firstLine="400"/>
    </w:pPr>
    <w:rPr>
      <w:rFonts w:ascii="宋体" w:hAnsi="宋体" w:cs="宋体"/>
      <w:sz w:val="20"/>
      <w:szCs w:val="20"/>
      <w:lang w:val="zh-TW" w:eastAsia="zh-TW" w:bidi="zh-TW"/>
    </w:rPr>
  </w:style>
  <w:style w:type="paragraph" w:customStyle="1" w:styleId="80">
    <w:name w:val="修订1"/>
    <w:unhideWhenUsed/>
    <w:qFormat/>
    <w:uiPriority w:val="99"/>
    <w:rPr>
      <w:rFonts w:ascii="Times New Roman" w:hAnsi="Times New Roman" w:eastAsia="宋体" w:cs="Times New Roman"/>
      <w:kern w:val="2"/>
      <w:sz w:val="21"/>
      <w:szCs w:val="22"/>
      <w:lang w:val="en-US" w:eastAsia="zh-CN" w:bidi="ar-SA"/>
    </w:rPr>
  </w:style>
  <w:style w:type="character" w:customStyle="1" w:styleId="81">
    <w:name w:val="标题 2 Char"/>
    <w:qFormat/>
    <w:uiPriority w:val="0"/>
    <w:rPr>
      <w:rFonts w:ascii="楷体_GB2312" w:hAnsi="Times New Roman" w:eastAsia="楷体_GB2312" w:cs="Times New Roman"/>
      <w:kern w:val="2"/>
      <w:sz w:val="32"/>
      <w:szCs w:val="32"/>
    </w:rPr>
  </w:style>
  <w:style w:type="paragraph" w:customStyle="1" w:styleId="82">
    <w:name w:val="_Style 76"/>
    <w:basedOn w:val="1"/>
    <w:next w:val="83"/>
    <w:qFormat/>
    <w:uiPriority w:val="34"/>
    <w:pPr>
      <w:ind w:firstLine="420" w:firstLineChars="200"/>
    </w:pPr>
    <w:rPr>
      <w:rFonts w:ascii="等线" w:hAnsi="等线" w:eastAsia="等线"/>
    </w:rPr>
  </w:style>
  <w:style w:type="paragraph" w:styleId="83">
    <w:name w:val="List Paragraph"/>
    <w:basedOn w:val="1"/>
    <w:qFormat/>
    <w:uiPriority w:val="99"/>
    <w:pPr>
      <w:ind w:firstLine="420" w:firstLineChars="200"/>
    </w:pPr>
  </w:style>
  <w:style w:type="paragraph" w:customStyle="1" w:styleId="84">
    <w:name w:val="标准号"/>
    <w:qFormat/>
    <w:uiPriority w:val="0"/>
    <w:pPr>
      <w:wordWrap w:val="0"/>
      <w:adjustRightInd w:val="0"/>
      <w:snapToGrid w:val="0"/>
      <w:spacing w:before="400"/>
      <w:jc w:val="right"/>
    </w:pPr>
    <w:rPr>
      <w:rFonts w:ascii="Arial" w:hAnsi="Arial" w:eastAsia="黑体" w:cs="Times New Roman"/>
      <w:color w:val="000000"/>
      <w:sz w:val="28"/>
      <w:lang w:val="en-US" w:eastAsia="zh-CN" w:bidi="ar-SA"/>
    </w:rPr>
  </w:style>
  <w:style w:type="paragraph" w:customStyle="1" w:styleId="85">
    <w:name w:val="英文（标题下）"/>
    <w:basedOn w:val="1"/>
    <w:qFormat/>
    <w:uiPriority w:val="0"/>
    <w:pPr>
      <w:topLinePunct/>
      <w:adjustRightInd w:val="0"/>
      <w:snapToGrid w:val="0"/>
      <w:spacing w:before="60" w:line="480" w:lineRule="exact"/>
      <w:jc w:val="center"/>
    </w:pPr>
    <w:rPr>
      <w:rFonts w:eastAsia="黑体"/>
      <w:b/>
      <w:color w:val="000000"/>
      <w:kern w:val="0"/>
      <w:sz w:val="28"/>
      <w:szCs w:val="20"/>
    </w:rPr>
  </w:style>
  <w:style w:type="paragraph" w:customStyle="1" w:styleId="86">
    <w:name w:val="发布时间"/>
    <w:qFormat/>
    <w:uiPriority w:val="0"/>
    <w:pPr>
      <w:adjustRightInd w:val="0"/>
      <w:ind w:left="-363" w:right="-363"/>
      <w:jc w:val="center"/>
    </w:pPr>
    <w:rPr>
      <w:rFonts w:ascii="Arial" w:hAnsi="Arial" w:eastAsia="黑体" w:cs="Times New Roman"/>
      <w:sz w:val="28"/>
      <w:lang w:val="en-US" w:eastAsia="zh-CN" w:bidi="ar-SA"/>
    </w:rPr>
  </w:style>
  <w:style w:type="paragraph" w:customStyle="1" w:styleId="87">
    <w:name w:val="Char1"/>
    <w:basedOn w:val="1"/>
    <w:qFormat/>
    <w:uiPriority w:val="0"/>
    <w:rPr>
      <w:szCs w:val="24"/>
    </w:rPr>
  </w:style>
  <w:style w:type="paragraph" w:customStyle="1" w:styleId="88">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89">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90">
    <w:name w:val="修订4"/>
    <w:hidden/>
    <w:unhideWhenUsed/>
    <w:qFormat/>
    <w:uiPriority w:val="99"/>
    <w:rPr>
      <w:rFonts w:ascii="Times New Roman" w:hAnsi="Times New Roman" w:eastAsia="宋体" w:cs="Times New Roman"/>
      <w:kern w:val="2"/>
      <w:sz w:val="21"/>
      <w:szCs w:val="22"/>
      <w:lang w:val="en-US" w:eastAsia="zh-CN" w:bidi="ar-SA"/>
    </w:rPr>
  </w:style>
  <w:style w:type="character" w:customStyle="1" w:styleId="91">
    <w:name w:val="标题 4 字符"/>
    <w:basedOn w:val="32"/>
    <w:link w:val="5"/>
    <w:qFormat/>
    <w:uiPriority w:val="0"/>
    <w:rPr>
      <w:rFonts w:asciiTheme="majorHAnsi" w:hAnsiTheme="majorHAnsi" w:eastAsiaTheme="majorEastAsia" w:cstheme="majorBidi"/>
      <w:b/>
      <w:bCs/>
      <w:kern w:val="2"/>
      <w:sz w:val="28"/>
      <w:szCs w:val="28"/>
    </w:rPr>
  </w:style>
  <w:style w:type="paragraph" w:customStyle="1" w:styleId="92">
    <w:name w:val="Char2"/>
    <w:basedOn w:val="1"/>
    <w:qFormat/>
    <w:uiPriority w:val="0"/>
    <w:rPr>
      <w:szCs w:val="24"/>
    </w:rPr>
  </w:style>
  <w:style w:type="paragraph" w:customStyle="1" w:styleId="93">
    <w:name w:val="Char3"/>
    <w:basedOn w:val="1"/>
    <w:qFormat/>
    <w:uiPriority w:val="0"/>
    <w:rPr>
      <w:szCs w:val="24"/>
    </w:rPr>
  </w:style>
  <w:style w:type="paragraph" w:customStyle="1" w:styleId="94">
    <w:name w:val="修订5"/>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3838</Words>
  <Characters>4063</Characters>
  <Lines>145</Lines>
  <Paragraphs>173</Paragraphs>
  <TotalTime>15</TotalTime>
  <ScaleCrop>false</ScaleCrop>
  <LinksUpToDate>false</LinksUpToDate>
  <CharactersWithSpaces>4208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2024-12-27T03:38:00Z</dcterms:created>
  <dc:creator>yuyu</dc:creator>
  <cp:lastModifiedBy>Friend</cp:lastModifiedBy>
  <cp:lastPrinted>2025-09-08T02:14:43Z</cp:lastPrinted>
  <dcterms:modified xsi:type="dcterms:W3CDTF">2025-09-08T02:14:53Z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1A8F8890A01B4A5EB2AD9487648E26A6_13</vt:lpwstr>
  </property>
  <property fmtid="{D5CDD505-2E9C-101B-9397-08002B2CF9AE}" pid="4" name="KSOTemplateDocerSaveRecord">
    <vt:lpwstr>eyJoZGlkIjoiNDk3ZDEyZDVkYmUwNTNmNjBjMmIxYmQxNzlhYTMxNTIiLCJ1c2VySWQiOiIzODYwMTY0MzUifQ==</vt:lpwstr>
  </property>
</Properties>
</file>