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BFAF">
      <w:pPr>
        <w:spacing w:line="360" w:lineRule="exact"/>
        <w:rPr>
          <w:spacing w:val="-5"/>
          <w:szCs w:val="21"/>
        </w:rPr>
      </w:pPr>
      <w:bookmarkStart w:id="0" w:name="_Toc142890354"/>
      <w:bookmarkStart w:id="21" w:name="_GoBack"/>
      <w:bookmarkEnd w:id="21"/>
    </w:p>
    <w:p w14:paraId="71599F0E">
      <w:pPr>
        <w:adjustRightInd w:val="0"/>
        <w:spacing w:line="360" w:lineRule="exact"/>
        <w:jc w:val="center"/>
        <w:rPr>
          <w:rFonts w:hint="eastAsia" w:ascii="宋体" w:hAnsi="宋体" w:eastAsia="宋体" w:cs="Times New Roman"/>
          <w:spacing w:val="-5"/>
          <w:szCs w:val="21"/>
        </w:rPr>
      </w:pPr>
      <w:r>
        <w:rPr>
          <w:rFonts w:hint="eastAsia" w:ascii="宋体" w:hAnsi="宋体" w:eastAsia="宋体" w:cs="Times New Roman"/>
          <w:spacing w:val="-5"/>
          <w:szCs w:val="21"/>
        </w:rPr>
        <w:t>铁岭市生态环境局</w:t>
      </w:r>
    </w:p>
    <w:p w14:paraId="255CF52A">
      <w:pPr>
        <w:adjustRightInd w:val="0"/>
        <w:spacing w:line="360" w:lineRule="exact"/>
        <w:jc w:val="center"/>
        <w:rPr>
          <w:rFonts w:hint="eastAsia" w:ascii="宋体" w:hAnsi="宋体" w:eastAsia="宋体" w:cs="Times New Roman"/>
          <w:spacing w:val="-5"/>
          <w:szCs w:val="21"/>
        </w:rPr>
      </w:pPr>
      <w:r>
        <w:rPr>
          <w:rFonts w:hint="eastAsia" w:ascii="宋体" w:hAnsi="宋体" w:eastAsia="宋体" w:cs="Times New Roman"/>
          <w:spacing w:val="-5"/>
          <w:szCs w:val="21"/>
        </w:rPr>
        <w:t>同意</w:t>
      </w:r>
      <w:r>
        <w:rPr>
          <w:rFonts w:hint="eastAsia" w:ascii="宋体" w:hAnsi="宋体" w:cs="Times New Roman"/>
          <w:spacing w:val="-5"/>
          <w:szCs w:val="21"/>
          <w:lang w:val="en-US" w:eastAsia="zh-CN"/>
        </w:rPr>
        <w:t>调兵山市城市污水处理厂</w:t>
      </w:r>
      <w:r>
        <w:rPr>
          <w:rFonts w:hint="eastAsia" w:ascii="宋体" w:hAnsi="宋体" w:eastAsia="宋体" w:cs="Times New Roman"/>
          <w:spacing w:val="-5"/>
          <w:szCs w:val="21"/>
        </w:rPr>
        <w:t>设置</w:t>
      </w:r>
      <w:r>
        <w:rPr>
          <w:rFonts w:hint="eastAsia" w:ascii="宋体" w:hAnsi="宋体" w:eastAsia="宋体" w:cs="Times New Roman"/>
          <w:spacing w:val="-5"/>
          <w:szCs w:val="21"/>
          <w:lang w:val="en-US" w:eastAsia="zh-CN"/>
        </w:rPr>
        <w:t>入河排污口</w:t>
      </w:r>
      <w:r>
        <w:rPr>
          <w:rFonts w:hint="eastAsia" w:ascii="宋体" w:hAnsi="宋体" w:eastAsia="宋体" w:cs="Times New Roman"/>
          <w:spacing w:val="-5"/>
          <w:szCs w:val="21"/>
        </w:rPr>
        <w:t>的决定书</w:t>
      </w:r>
    </w:p>
    <w:p w14:paraId="7065E765">
      <w:pPr>
        <w:adjustRightInd w:val="0"/>
        <w:spacing w:line="360" w:lineRule="exact"/>
        <w:ind w:right="808"/>
        <w:jc w:val="right"/>
        <w:rPr>
          <w:rFonts w:ascii="宋体" w:hAnsi="宋体"/>
          <w:spacing w:val="-4"/>
          <w:szCs w:val="21"/>
        </w:rPr>
      </w:pPr>
      <w:r>
        <w:rPr>
          <w:rFonts w:ascii="宋体" w:hAnsi="宋体"/>
          <w:color w:val="auto"/>
          <w:spacing w:val="-4"/>
          <w:szCs w:val="21"/>
          <w:highlight w:val="none"/>
        </w:rPr>
        <w:t>文书号：</w:t>
      </w:r>
      <w:r>
        <w:rPr>
          <w:rFonts w:hint="eastAsia" w:ascii="宋体" w:hAnsi="宋体"/>
          <w:color w:val="auto"/>
          <w:spacing w:val="-4"/>
          <w:szCs w:val="21"/>
          <w:highlight w:val="none"/>
        </w:rPr>
        <w:t>铁市环审函[2025]</w:t>
      </w:r>
      <w:r>
        <w:rPr>
          <w:rFonts w:hint="eastAsia" w:ascii="宋体" w:hAnsi="宋体"/>
          <w:color w:val="auto"/>
          <w:spacing w:val="-4"/>
          <w:szCs w:val="21"/>
          <w:highlight w:val="none"/>
          <w:lang w:val="en-US" w:eastAsia="zh-CN"/>
        </w:rPr>
        <w:t>76</w:t>
      </w:r>
      <w:r>
        <w:rPr>
          <w:rFonts w:hint="eastAsia" w:ascii="宋体" w:hAnsi="宋体"/>
          <w:color w:val="auto"/>
          <w:spacing w:val="-4"/>
          <w:szCs w:val="21"/>
          <w:highlight w:val="none"/>
        </w:rPr>
        <w:t>号</w:t>
      </w:r>
      <w:r>
        <w:rPr>
          <w:rFonts w:ascii="宋体" w:hAnsi="宋体"/>
          <w:color w:val="auto"/>
          <w:spacing w:val="-4"/>
          <w:szCs w:val="21"/>
          <w:highlight w:val="none"/>
        </w:rPr>
        <w:t xml:space="preserve">    </w:t>
      </w:r>
      <w:r>
        <w:rPr>
          <w:rFonts w:ascii="宋体" w:hAnsi="宋体"/>
          <w:color w:val="FF0000"/>
          <w:spacing w:val="-4"/>
          <w:szCs w:val="21"/>
        </w:rPr>
        <w:t xml:space="preserve"> </w:t>
      </w:r>
      <w:r>
        <w:rPr>
          <w:rFonts w:ascii="宋体" w:hAnsi="宋体"/>
          <w:spacing w:val="-4"/>
          <w:szCs w:val="21"/>
        </w:rPr>
        <w:t xml:space="preserve">    </w:t>
      </w:r>
    </w:p>
    <w:p w14:paraId="7CF533AA">
      <w:pPr>
        <w:adjustRightInd w:val="0"/>
        <w:spacing w:line="360" w:lineRule="exact"/>
        <w:rPr>
          <w:rFonts w:ascii="宋体" w:hAnsi="宋体"/>
          <w:kern w:val="0"/>
          <w:szCs w:val="21"/>
          <w:lang w:val="zh-TW" w:eastAsia="zh-TW"/>
        </w:rPr>
      </w:pPr>
      <w:r>
        <w:rPr>
          <w:rFonts w:ascii="宋体" w:hAnsi="宋体"/>
          <w:kern w:val="0"/>
          <w:szCs w:val="21"/>
          <w:lang w:val="zh-TW" w:eastAsia="zh-TW"/>
        </w:rPr>
        <w:t>调兵山信环水务有限公司：</w:t>
      </w:r>
    </w:p>
    <w:p w14:paraId="0CF577EC">
      <w:pPr>
        <w:pStyle w:val="10"/>
        <w:adjustRightInd w:val="0"/>
        <w:spacing w:before="0" w:line="360" w:lineRule="exact"/>
        <w:ind w:right="107" w:firstLine="600"/>
        <w:jc w:val="both"/>
        <w:rPr>
          <w:rFonts w:ascii="宋体" w:hAnsi="宋体" w:eastAsia="宋体"/>
          <w:spacing w:val="-6"/>
          <w:sz w:val="21"/>
          <w:szCs w:val="21"/>
          <w:lang w:eastAsia="zh-CN"/>
        </w:rPr>
      </w:pPr>
      <w:r>
        <w:rPr>
          <w:rFonts w:ascii="宋体" w:hAnsi="宋体" w:eastAsia="宋体"/>
          <w:spacing w:val="-6"/>
          <w:sz w:val="21"/>
          <w:szCs w:val="21"/>
          <w:lang w:eastAsia="zh-CN"/>
        </w:rPr>
        <w:t>你（单位）</w:t>
      </w:r>
      <w:r>
        <w:rPr>
          <w:rFonts w:ascii="宋体" w:hAnsi="宋体" w:eastAsia="宋体"/>
          <w:color w:val="auto"/>
          <w:spacing w:val="-6"/>
          <w:sz w:val="21"/>
          <w:szCs w:val="21"/>
          <w:highlight w:val="none"/>
          <w:lang w:eastAsia="zh-CN"/>
        </w:rPr>
        <w:t>于</w:t>
      </w:r>
      <w:r>
        <w:rPr>
          <w:rFonts w:hint="eastAsia" w:ascii="宋体" w:hAnsi="宋体" w:eastAsia="宋体"/>
          <w:color w:val="auto"/>
          <w:spacing w:val="-6"/>
          <w:sz w:val="21"/>
          <w:szCs w:val="21"/>
          <w:highlight w:val="none"/>
          <w:lang w:eastAsia="zh-CN"/>
        </w:rPr>
        <w:t>2025</w:t>
      </w:r>
      <w:r>
        <w:rPr>
          <w:rFonts w:ascii="宋体" w:hAnsi="宋体" w:eastAsia="宋体"/>
          <w:color w:val="auto"/>
          <w:spacing w:val="-6"/>
          <w:sz w:val="21"/>
          <w:szCs w:val="21"/>
          <w:highlight w:val="none"/>
          <w:lang w:eastAsia="zh-CN"/>
        </w:rPr>
        <w:t>年</w:t>
      </w:r>
      <w:r>
        <w:rPr>
          <w:rFonts w:hint="eastAsia" w:ascii="宋体" w:hAnsi="宋体" w:eastAsia="宋体"/>
          <w:color w:val="auto"/>
          <w:spacing w:val="-6"/>
          <w:sz w:val="21"/>
          <w:szCs w:val="21"/>
          <w:highlight w:val="none"/>
          <w:lang w:val="en-US" w:eastAsia="zh-CN"/>
        </w:rPr>
        <w:t>8</w:t>
      </w:r>
      <w:r>
        <w:rPr>
          <w:rFonts w:hint="eastAsia" w:ascii="宋体" w:hAnsi="宋体" w:eastAsia="宋体"/>
          <w:color w:val="auto"/>
          <w:spacing w:val="-6"/>
          <w:sz w:val="21"/>
          <w:szCs w:val="21"/>
          <w:highlight w:val="none"/>
          <w:lang w:eastAsia="zh-CN"/>
        </w:rPr>
        <w:t>月</w:t>
      </w:r>
      <w:r>
        <w:rPr>
          <w:rFonts w:hint="eastAsia" w:ascii="宋体" w:hAnsi="宋体" w:eastAsia="宋体"/>
          <w:color w:val="auto"/>
          <w:spacing w:val="-6"/>
          <w:sz w:val="21"/>
          <w:szCs w:val="21"/>
          <w:highlight w:val="none"/>
          <w:lang w:val="en-US" w:eastAsia="zh-CN"/>
        </w:rPr>
        <w:t>12</w:t>
      </w:r>
      <w:r>
        <w:rPr>
          <w:rFonts w:hint="eastAsia" w:ascii="宋体" w:hAnsi="宋体" w:eastAsia="宋体"/>
          <w:color w:val="auto"/>
          <w:spacing w:val="-6"/>
          <w:sz w:val="21"/>
          <w:szCs w:val="21"/>
          <w:highlight w:val="none"/>
          <w:lang w:eastAsia="zh-CN"/>
        </w:rPr>
        <w:t>日</w:t>
      </w:r>
      <w:r>
        <w:rPr>
          <w:rFonts w:ascii="宋体" w:hAnsi="宋体" w:eastAsia="宋体"/>
          <w:spacing w:val="-6"/>
          <w:sz w:val="21"/>
          <w:szCs w:val="21"/>
          <w:lang w:eastAsia="zh-CN"/>
        </w:rPr>
        <w:t>向我部门提出了</w:t>
      </w:r>
      <w:r>
        <w:rPr>
          <w:rFonts w:hint="eastAsia" w:ascii="宋体" w:hAnsi="宋体" w:eastAsia="宋体"/>
          <w:spacing w:val="-6"/>
          <w:sz w:val="21"/>
          <w:szCs w:val="21"/>
          <w:lang w:val="en-US" w:eastAsia="zh-CN"/>
        </w:rPr>
        <w:t>调兵山市城市污水处理厂</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设置申请。</w:t>
      </w:r>
      <w:r>
        <w:rPr>
          <w:rFonts w:hint="eastAsia" w:ascii="宋体" w:hAnsi="宋体" w:eastAsia="宋体"/>
          <w:spacing w:val="-6"/>
          <w:sz w:val="21"/>
          <w:szCs w:val="21"/>
          <w:lang w:eastAsia="zh-CN"/>
        </w:rPr>
        <w:t>经审查，</w:t>
      </w:r>
      <w:r>
        <w:rPr>
          <w:rFonts w:ascii="宋体" w:hAnsi="宋体" w:eastAsia="宋体"/>
          <w:spacing w:val="-6"/>
          <w:sz w:val="21"/>
          <w:szCs w:val="21"/>
          <w:lang w:eastAsia="zh-CN"/>
        </w:rPr>
        <w:t>根据《中华人民共和国行政许可法》</w:t>
      </w:r>
      <w:r>
        <w:rPr>
          <w:rFonts w:hint="eastAsia" w:ascii="宋体" w:hAnsi="宋体" w:eastAsia="宋体"/>
          <w:spacing w:val="-6"/>
          <w:sz w:val="21"/>
          <w:szCs w:val="21"/>
          <w:lang w:eastAsia="zh-CN"/>
        </w:rPr>
        <w:t>《入河排污口监督管理办法》（生态环境部令第3</w:t>
      </w:r>
      <w:r>
        <w:rPr>
          <w:rFonts w:ascii="宋体" w:hAnsi="宋体" w:eastAsia="宋体"/>
          <w:spacing w:val="-6"/>
          <w:sz w:val="21"/>
          <w:szCs w:val="21"/>
          <w:lang w:eastAsia="zh-CN"/>
        </w:rPr>
        <w:t>5</w:t>
      </w:r>
      <w:r>
        <w:rPr>
          <w:rFonts w:hint="eastAsia" w:ascii="宋体" w:hAnsi="宋体" w:eastAsia="宋体"/>
          <w:spacing w:val="-6"/>
          <w:sz w:val="21"/>
          <w:szCs w:val="21"/>
          <w:lang w:eastAsia="zh-CN"/>
        </w:rPr>
        <w:t>号）</w:t>
      </w:r>
      <w:r>
        <w:rPr>
          <w:rFonts w:ascii="宋体" w:hAnsi="宋体" w:eastAsia="宋体"/>
          <w:spacing w:val="-6"/>
          <w:sz w:val="21"/>
          <w:szCs w:val="21"/>
          <w:lang w:eastAsia="zh-CN"/>
        </w:rPr>
        <w:t>的规定，</w:t>
      </w:r>
      <w:r>
        <w:rPr>
          <w:rFonts w:hint="eastAsia" w:ascii="宋体" w:hAnsi="宋体" w:eastAsia="宋体"/>
          <w:spacing w:val="-6"/>
          <w:sz w:val="21"/>
          <w:szCs w:val="21"/>
          <w:lang w:eastAsia="zh-CN"/>
        </w:rPr>
        <w:t>同意</w:t>
      </w:r>
      <w:r>
        <w:rPr>
          <w:rFonts w:hint="eastAsia" w:ascii="宋体" w:hAnsi="宋体" w:eastAsia="宋体"/>
          <w:spacing w:val="-6"/>
          <w:sz w:val="21"/>
          <w:szCs w:val="21"/>
          <w:lang w:val="en-US" w:eastAsia="zh-CN"/>
        </w:rPr>
        <w:t>调兵山市城市污水处理厂</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设置决定如下：</w:t>
      </w:r>
    </w:p>
    <w:tbl>
      <w:tblPr>
        <w:tblStyle w:val="30"/>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259"/>
        <w:gridCol w:w="725"/>
        <w:gridCol w:w="426"/>
        <w:gridCol w:w="1321"/>
        <w:gridCol w:w="1231"/>
        <w:gridCol w:w="1153"/>
      </w:tblGrid>
      <w:tr w14:paraId="6F65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830" w:type="dxa"/>
            <w:vAlign w:val="center"/>
          </w:tcPr>
          <w:p w14:paraId="75E9AEC6">
            <w:pPr>
              <w:pStyle w:val="10"/>
              <w:spacing w:before="0" w:line="360" w:lineRule="exact"/>
              <w:ind w:left="0"/>
              <w:jc w:val="center"/>
              <w:rPr>
                <w:rFonts w:ascii="Times New Roman" w:hAnsi="Times New Roman" w:eastAsia="宋体"/>
                <w:color w:val="auto"/>
                <w:kern w:val="2"/>
                <w:sz w:val="21"/>
                <w:szCs w:val="21"/>
                <w:lang w:eastAsia="zh-CN"/>
              </w:rPr>
            </w:pPr>
            <w:r>
              <w:rPr>
                <w:rFonts w:ascii="Times New Roman" w:hAnsi="Times New Roman"/>
                <w:color w:val="auto"/>
                <w:szCs w:val="21"/>
                <w:lang w:eastAsia="zh-CN"/>
              </w:rPr>
              <w:br w:type="page"/>
            </w:r>
            <w:r>
              <w:rPr>
                <w:rFonts w:hint="eastAsia" w:ascii="Times New Roman" w:hAnsi="Times New Roman" w:eastAsia="宋体"/>
                <w:color w:val="auto"/>
                <w:kern w:val="2"/>
                <w:sz w:val="21"/>
                <w:szCs w:val="21"/>
                <w:lang w:eastAsia="zh-CN"/>
              </w:rPr>
              <w:t>入河排污口类型</w:t>
            </w:r>
          </w:p>
        </w:tc>
        <w:tc>
          <w:tcPr>
            <w:tcW w:w="6115" w:type="dxa"/>
            <w:gridSpan w:val="6"/>
            <w:vAlign w:val="center"/>
          </w:tcPr>
          <w:p w14:paraId="06186797">
            <w:pPr>
              <w:widowControl/>
              <w:spacing w:line="360" w:lineRule="exact"/>
              <w:rPr>
                <w:color w:val="auto"/>
              </w:rPr>
            </w:pPr>
            <w:r>
              <w:rPr>
                <w:rFonts w:hint="eastAsia"/>
                <w:color w:val="auto"/>
                <w:szCs w:val="20"/>
              </w:rPr>
              <w:sym w:font="Wingdings" w:char="00A8"/>
            </w:r>
            <w:r>
              <w:rPr>
                <w:rFonts w:hint="eastAsia"/>
                <w:color w:val="auto"/>
              </w:rPr>
              <w:t>工矿企业入河排污口</w:t>
            </w:r>
          </w:p>
          <w:p w14:paraId="5F77FECD">
            <w:pPr>
              <w:widowControl/>
              <w:spacing w:line="360" w:lineRule="exact"/>
              <w:rPr>
                <w:rFonts w:hint="default" w:eastAsia="宋体"/>
                <w:color w:val="auto"/>
                <w:lang w:val="en-US" w:eastAsia="zh-CN"/>
              </w:rPr>
            </w:pPr>
            <w:bookmarkStart w:id="1" w:name="OLE_LINK2"/>
            <w:bookmarkStart w:id="2" w:name="OLE_LINK1"/>
            <w:r>
              <w:rPr>
                <w:color w:val="auto"/>
                <w:szCs w:val="20"/>
              </w:rPr>
              <w:sym w:font="Wingdings 2" w:char="00A3"/>
            </w:r>
            <w:bookmarkEnd w:id="1"/>
            <w:bookmarkEnd w:id="2"/>
            <w:r>
              <w:rPr>
                <w:rFonts w:hint="eastAsia"/>
                <w:color w:val="auto"/>
              </w:rPr>
              <w:t>工业及其他各类园区污水处理厂入河排污口</w:t>
            </w:r>
          </w:p>
          <w:p w14:paraId="6D5386D9">
            <w:pPr>
              <w:widowControl/>
              <w:spacing w:line="360" w:lineRule="exact"/>
              <w:rPr>
                <w:color w:val="auto"/>
              </w:rPr>
            </w:pPr>
            <w:r>
              <w:rPr>
                <w:color w:val="auto"/>
                <w:szCs w:val="20"/>
              </w:rPr>
              <w:sym w:font="Wingdings 2" w:char="0052"/>
            </w:r>
            <w:r>
              <w:rPr>
                <w:rFonts w:hint="eastAsia"/>
                <w:color w:val="auto"/>
              </w:rPr>
              <w:t>城镇污水处理厂入河排污口</w:t>
            </w:r>
          </w:p>
          <w:p w14:paraId="4CCE1A0B">
            <w:pPr>
              <w:widowControl/>
              <w:spacing w:line="360" w:lineRule="exact"/>
              <w:rPr>
                <w:color w:val="auto"/>
              </w:rPr>
            </w:pPr>
            <w:r>
              <w:rPr>
                <w:color w:val="auto"/>
                <w:szCs w:val="20"/>
              </w:rPr>
              <w:sym w:font="Wingdings 2" w:char="00A3"/>
            </w:r>
            <w:r>
              <w:rPr>
                <w:rFonts w:hint="eastAsia"/>
                <w:color w:val="auto"/>
                <w:szCs w:val="20"/>
              </w:rPr>
              <w:t>其他参照上述管理的入河排污口_</w:t>
            </w:r>
            <w:r>
              <w:rPr>
                <w:color w:val="auto"/>
                <w:szCs w:val="20"/>
              </w:rPr>
              <w:t>______________</w:t>
            </w:r>
          </w:p>
        </w:tc>
      </w:tr>
      <w:tr w14:paraId="1422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202D8442">
            <w:pPr>
              <w:widowControl/>
              <w:spacing w:line="360" w:lineRule="exact"/>
              <w:jc w:val="center"/>
              <w:rPr>
                <w:color w:val="auto"/>
                <w:szCs w:val="21"/>
              </w:rPr>
            </w:pPr>
            <w:r>
              <w:rPr>
                <w:rFonts w:hint="eastAsia"/>
                <w:color w:val="auto"/>
                <w:szCs w:val="21"/>
              </w:rPr>
              <w:t>入河排污口名称</w:t>
            </w:r>
          </w:p>
        </w:tc>
        <w:tc>
          <w:tcPr>
            <w:tcW w:w="6115" w:type="dxa"/>
            <w:gridSpan w:val="6"/>
            <w:vAlign w:val="center"/>
          </w:tcPr>
          <w:p w14:paraId="5F5D1026">
            <w:pPr>
              <w:widowControl/>
              <w:spacing w:line="360" w:lineRule="exact"/>
              <w:rPr>
                <w:color w:val="auto"/>
                <w:szCs w:val="20"/>
              </w:rPr>
            </w:pPr>
            <w:r>
              <w:rPr>
                <w:rFonts w:hint="eastAsia"/>
                <w:color w:val="auto"/>
                <w:szCs w:val="20"/>
              </w:rPr>
              <w:t>调兵山市城市污水处理厂混合废污水入河排污口</w:t>
            </w:r>
          </w:p>
        </w:tc>
      </w:tr>
      <w:tr w14:paraId="4827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3A4915B6">
            <w:pPr>
              <w:widowControl/>
              <w:spacing w:line="360" w:lineRule="exact"/>
              <w:jc w:val="center"/>
              <w:rPr>
                <w:color w:val="auto"/>
                <w:szCs w:val="21"/>
              </w:rPr>
            </w:pPr>
            <w:r>
              <w:rPr>
                <w:rFonts w:hint="eastAsia"/>
                <w:color w:val="auto"/>
                <w:szCs w:val="21"/>
              </w:rPr>
              <w:t>入河排污口编码</w:t>
            </w:r>
          </w:p>
        </w:tc>
        <w:tc>
          <w:tcPr>
            <w:tcW w:w="6115" w:type="dxa"/>
            <w:gridSpan w:val="6"/>
            <w:vAlign w:val="center"/>
          </w:tcPr>
          <w:p w14:paraId="4C45FE95">
            <w:pPr>
              <w:rPr>
                <w:rFonts w:hint="default" w:eastAsia="宋体"/>
                <w:color w:val="auto"/>
                <w:szCs w:val="20"/>
                <w:lang w:val="en-US" w:eastAsia="zh-CN"/>
              </w:rPr>
            </w:pPr>
            <w:r>
              <w:rPr>
                <w:rFonts w:hint="default" w:eastAsia="宋体"/>
                <w:color w:val="auto"/>
                <w:szCs w:val="20"/>
                <w:lang w:val="en-US" w:eastAsia="zh-CN"/>
              </w:rPr>
              <w:t>BA-211281-0010-SH-00</w:t>
            </w:r>
          </w:p>
        </w:tc>
      </w:tr>
      <w:tr w14:paraId="21B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05459793">
            <w:pPr>
              <w:widowControl/>
              <w:spacing w:line="360" w:lineRule="exact"/>
              <w:jc w:val="center"/>
              <w:rPr>
                <w:color w:val="auto"/>
                <w:szCs w:val="21"/>
              </w:rPr>
            </w:pPr>
            <w:r>
              <w:rPr>
                <w:rFonts w:hint="eastAsia"/>
                <w:color w:val="auto"/>
                <w:szCs w:val="21"/>
              </w:rPr>
              <w:t>设置类型</w:t>
            </w:r>
          </w:p>
        </w:tc>
        <w:tc>
          <w:tcPr>
            <w:tcW w:w="6115" w:type="dxa"/>
            <w:gridSpan w:val="6"/>
            <w:vAlign w:val="center"/>
          </w:tcPr>
          <w:p w14:paraId="220D78DA">
            <w:pPr>
              <w:widowControl/>
              <w:spacing w:line="360" w:lineRule="exact"/>
              <w:rPr>
                <w:color w:val="auto"/>
                <w:szCs w:val="20"/>
              </w:rPr>
            </w:pPr>
            <w:r>
              <w:rPr>
                <w:color w:val="auto"/>
                <w:szCs w:val="20"/>
              </w:rPr>
              <w:sym w:font="Wingdings 2" w:char="0052"/>
            </w:r>
            <w:r>
              <w:rPr>
                <w:rFonts w:hint="eastAsia"/>
                <w:color w:val="auto"/>
                <w:szCs w:val="21"/>
              </w:rPr>
              <w:t>新设</w:t>
            </w:r>
            <w:r>
              <w:rPr>
                <w:rFonts w:hint="eastAsia"/>
                <w:color w:val="auto"/>
                <w:szCs w:val="21"/>
                <w:lang w:val="en-US" w:eastAsia="zh-CN"/>
              </w:rPr>
              <w:t>（现有）</w:t>
            </w:r>
            <w:r>
              <w:rPr>
                <w:color w:val="auto"/>
                <w:szCs w:val="20"/>
              </w:rPr>
              <w:t xml:space="preserve">  </w:t>
            </w:r>
            <w:r>
              <w:rPr>
                <w:color w:val="auto"/>
                <w:szCs w:val="20"/>
              </w:rPr>
              <w:sym w:font="Wingdings 2" w:char="00A3"/>
            </w:r>
            <w:r>
              <w:rPr>
                <w:rFonts w:hint="eastAsia"/>
                <w:color w:val="auto"/>
                <w:szCs w:val="21"/>
              </w:rPr>
              <w:t>改设</w:t>
            </w:r>
            <w:r>
              <w:rPr>
                <w:color w:val="auto"/>
                <w:szCs w:val="20"/>
              </w:rPr>
              <w:t xml:space="preserve">  </w:t>
            </w:r>
            <w:r>
              <w:rPr>
                <w:rFonts w:hint="eastAsia"/>
                <w:color w:val="auto"/>
                <w:szCs w:val="21"/>
              </w:rPr>
              <w:sym w:font="Wingdings" w:char="00A8"/>
            </w:r>
            <w:r>
              <w:rPr>
                <w:rFonts w:hint="eastAsia"/>
                <w:color w:val="auto"/>
                <w:szCs w:val="21"/>
              </w:rPr>
              <w:t>扩大</w:t>
            </w:r>
            <w:r>
              <w:rPr>
                <w:color w:val="auto"/>
                <w:szCs w:val="20"/>
              </w:rPr>
              <w:t xml:space="preserve"> </w:t>
            </w:r>
            <w:r>
              <w:rPr>
                <w:rFonts w:hint="eastAsia"/>
                <w:color w:val="auto"/>
                <w:szCs w:val="20"/>
              </w:rPr>
              <w:t xml:space="preserve"> </w:t>
            </w:r>
          </w:p>
        </w:tc>
      </w:tr>
      <w:tr w14:paraId="1AE1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vAlign w:val="center"/>
          </w:tcPr>
          <w:p w14:paraId="47E4B157">
            <w:pPr>
              <w:widowControl/>
              <w:spacing w:line="360" w:lineRule="exact"/>
              <w:rPr>
                <w:color w:val="auto"/>
                <w:szCs w:val="20"/>
              </w:rPr>
            </w:pPr>
            <w:r>
              <w:rPr>
                <w:rFonts w:hint="eastAsia"/>
                <w:color w:val="auto"/>
                <w:szCs w:val="20"/>
              </w:rPr>
              <w:t>责任主体基本情况</w:t>
            </w:r>
          </w:p>
        </w:tc>
      </w:tr>
      <w:tr w14:paraId="5210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vAlign w:val="center"/>
          </w:tcPr>
          <w:p w14:paraId="2240AA8C">
            <w:pPr>
              <w:widowControl/>
              <w:spacing w:line="360" w:lineRule="exact"/>
              <w:rPr>
                <w:color w:val="auto"/>
                <w:kern w:val="0"/>
                <w:szCs w:val="21"/>
              </w:rPr>
            </w:pPr>
            <w:r>
              <w:rPr>
                <w:rFonts w:hint="eastAsia"/>
                <w:color w:val="auto"/>
                <w:kern w:val="0"/>
                <w:szCs w:val="21"/>
              </w:rPr>
              <w:t>责任主体</w:t>
            </w:r>
            <w:r>
              <w:rPr>
                <w:rFonts w:hint="eastAsia"/>
                <w:color w:val="auto"/>
                <w:kern w:val="0"/>
                <w:szCs w:val="21"/>
                <w:lang w:val="en-US" w:eastAsia="zh-CN"/>
              </w:rPr>
              <w:t>1</w:t>
            </w:r>
            <w:r>
              <w:rPr>
                <w:rFonts w:hint="eastAsia"/>
                <w:color w:val="auto"/>
                <w:kern w:val="0"/>
                <w:szCs w:val="21"/>
              </w:rPr>
              <w:t>名称：调兵山信环水务有限公司</w:t>
            </w:r>
          </w:p>
        </w:tc>
      </w:tr>
      <w:tr w14:paraId="2A0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830" w:type="dxa"/>
            <w:vAlign w:val="center"/>
          </w:tcPr>
          <w:p w14:paraId="751EBA8E">
            <w:pPr>
              <w:widowControl/>
              <w:spacing w:line="360" w:lineRule="exact"/>
              <w:jc w:val="center"/>
              <w:rPr>
                <w:color w:val="auto"/>
                <w:kern w:val="0"/>
                <w:szCs w:val="21"/>
              </w:rPr>
            </w:pPr>
            <w:r>
              <w:rPr>
                <w:rFonts w:hint="eastAsia"/>
                <w:color w:val="000000" w:themeColor="text1"/>
                <w:kern w:val="0"/>
                <w:szCs w:val="21"/>
                <w14:textFill>
                  <w14:solidFill>
                    <w14:schemeClr w14:val="tx1"/>
                  </w14:solidFill>
                </w14:textFill>
              </w:rPr>
              <w:t>详细地址</w:t>
            </w:r>
          </w:p>
        </w:tc>
        <w:tc>
          <w:tcPr>
            <w:tcW w:w="6115" w:type="dxa"/>
            <w:gridSpan w:val="6"/>
            <w:vAlign w:val="center"/>
          </w:tcPr>
          <w:p w14:paraId="454E1998">
            <w:pPr>
              <w:widowControl/>
              <w:spacing w:line="360" w:lineRule="exact"/>
              <w:rPr>
                <w:color w:val="auto"/>
                <w:kern w:val="0"/>
                <w:szCs w:val="21"/>
              </w:rPr>
            </w:pPr>
            <w:r>
              <w:rPr>
                <w:rFonts w:hint="eastAsia"/>
                <w:color w:val="000000" w:themeColor="text1"/>
                <w:szCs w:val="21"/>
                <w14:textFill>
                  <w14:solidFill>
                    <w14:schemeClr w14:val="tx1"/>
                  </w14:solidFill>
                </w14:textFill>
              </w:rPr>
              <w:t>所在行政区域：</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辽宁</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省（自治区、直辖市）</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铁岭</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市（州、盟）</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调兵山市</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（区、旗）</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施荒地村</w:t>
            </w:r>
            <w:r>
              <w:rPr>
                <w:rFonts w:hint="eastAsia"/>
                <w:color w:val="000000" w:themeColor="text1"/>
                <w:szCs w:val="21"/>
                <w14:textFill>
                  <w14:solidFill>
                    <w14:schemeClr w14:val="tx1"/>
                  </w14:solidFill>
                </w14:textFill>
              </w:rPr>
              <w:t>（乡</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镇、街道）</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北</w:t>
            </w:r>
            <w:r>
              <w:rPr>
                <w:color w:val="000000" w:themeColor="text1"/>
                <w:szCs w:val="21"/>
                <w:u w:val="single"/>
                <w14:textFill>
                  <w14:solidFill>
                    <w14:schemeClr w14:val="tx1"/>
                  </w14:solidFill>
                </w14:textFill>
              </w:rPr>
              <w:t xml:space="preserve">   </w:t>
            </w:r>
          </w:p>
        </w:tc>
      </w:tr>
      <w:tr w14:paraId="79F1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830" w:type="dxa"/>
            <w:vAlign w:val="center"/>
          </w:tcPr>
          <w:p w14:paraId="661751C1">
            <w:pPr>
              <w:widowControl/>
              <w:spacing w:line="360" w:lineRule="exact"/>
              <w:jc w:val="center"/>
              <w:rPr>
                <w:color w:val="auto"/>
                <w:szCs w:val="21"/>
              </w:rPr>
            </w:pPr>
            <w:r>
              <w:rPr>
                <w:rFonts w:hint="eastAsia"/>
                <w:color w:val="000000" w:themeColor="text1"/>
                <w:szCs w:val="21"/>
                <w14:textFill>
                  <w14:solidFill>
                    <w14:schemeClr w14:val="tx1"/>
                  </w14:solidFill>
                </w14:textFill>
              </w:rPr>
              <w:t>统一社会信用代码</w:t>
            </w:r>
          </w:p>
        </w:tc>
        <w:tc>
          <w:tcPr>
            <w:tcW w:w="6115" w:type="dxa"/>
            <w:gridSpan w:val="6"/>
            <w:vAlign w:val="center"/>
          </w:tcPr>
          <w:p w14:paraId="24FD4873">
            <w:pPr>
              <w:widowControl/>
              <w:spacing w:line="360" w:lineRule="exact"/>
              <w:rPr>
                <w:rFonts w:hint="default"/>
                <w:color w:val="auto"/>
                <w:lang w:val="en-US"/>
              </w:rPr>
            </w:pPr>
            <w:r>
              <w:rPr>
                <w:rFonts w:hint="eastAsia" w:cs="Times New Roman"/>
                <w:color w:val="000000" w:themeColor="text1"/>
                <w:kern w:val="0"/>
                <w:szCs w:val="21"/>
                <w:highlight w:val="none"/>
                <w:lang w:val="en-US" w:eastAsia="zh-CN"/>
                <w14:textFill>
                  <w14:solidFill>
                    <w14:schemeClr w14:val="tx1"/>
                  </w14:solidFill>
                </w14:textFill>
              </w:rPr>
              <w:t>912112005980613XE</w:t>
            </w:r>
          </w:p>
        </w:tc>
      </w:tr>
      <w:tr w14:paraId="665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6BD72BD">
            <w:pPr>
              <w:widowControl/>
              <w:spacing w:line="360" w:lineRule="exact"/>
              <w:jc w:val="center"/>
              <w:rPr>
                <w:color w:val="auto"/>
                <w:szCs w:val="21"/>
              </w:rPr>
            </w:pPr>
            <w:r>
              <w:rPr>
                <w:rFonts w:hint="eastAsia"/>
                <w:color w:val="000000" w:themeColor="text1"/>
                <w:szCs w:val="21"/>
                <w14:textFill>
                  <w14:solidFill>
                    <w14:schemeClr w14:val="tx1"/>
                  </w14:solidFill>
                </w14:textFill>
              </w:rPr>
              <w:t>法定代表人及联系电话</w:t>
            </w:r>
          </w:p>
        </w:tc>
        <w:tc>
          <w:tcPr>
            <w:tcW w:w="6115" w:type="dxa"/>
            <w:gridSpan w:val="6"/>
            <w:vAlign w:val="center"/>
          </w:tcPr>
          <w:p w14:paraId="226D95BB">
            <w:pPr>
              <w:widowControl/>
              <w:spacing w:line="360" w:lineRule="exact"/>
              <w:rPr>
                <w:color w:val="auto"/>
              </w:rPr>
            </w:pPr>
            <w:r>
              <w:rPr>
                <w:rFonts w:hint="eastAsia"/>
                <w:color w:val="000000" w:themeColor="text1"/>
                <w14:textFill>
                  <w14:solidFill>
                    <w14:schemeClr w14:val="tx1"/>
                  </w14:solidFill>
                </w14:textFill>
              </w:rPr>
              <w:t>姓名：</w:t>
            </w:r>
            <w:r>
              <w:rPr>
                <w:rFonts w:hint="eastAsia" w:cs="Times New Roman"/>
                <w:color w:val="000000" w:themeColor="text1"/>
                <w:kern w:val="0"/>
                <w:szCs w:val="21"/>
                <w:highlight w:val="none"/>
                <w:lang w:val="en-US" w:eastAsia="zh-CN"/>
                <w14:textFill>
                  <w14:solidFill>
                    <w14:schemeClr w14:val="tx1"/>
                  </w14:solidFill>
                </w14:textFill>
              </w:rPr>
              <w:t>马利</w:t>
            </w:r>
            <w:r>
              <w:rPr>
                <w:color w:val="000000" w:themeColor="text1"/>
                <w14:textFill>
                  <w14:solidFill>
                    <w14:schemeClr w14:val="tx1"/>
                  </w14:solidFill>
                </w14:textFill>
              </w:rPr>
              <w:t xml:space="preserve">    </w:t>
            </w:r>
            <w:r>
              <w:rPr>
                <w:rFonts w:hint="eastAsia"/>
                <w:color w:val="000000" w:themeColor="text1"/>
                <w:szCs w:val="21"/>
                <w14:textFill>
                  <w14:solidFill>
                    <w14:schemeClr w14:val="tx1"/>
                  </w14:solidFill>
                </w14:textFill>
              </w:rPr>
              <w:t>联系电话：</w:t>
            </w:r>
            <w:r>
              <w:rPr>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kern w:val="0"/>
                <w:szCs w:val="21"/>
                <w:highlight w:val="none"/>
                <w14:textFill>
                  <w14:solidFill>
                    <w14:schemeClr w14:val="tx1"/>
                  </w14:solidFill>
                </w14:textFill>
              </w:rPr>
              <w:t>13591058882</w:t>
            </w:r>
            <w:r>
              <w:rPr>
                <w:color w:val="000000" w:themeColor="text1"/>
                <w:szCs w:val="21"/>
                <w14:textFill>
                  <w14:solidFill>
                    <w14:schemeClr w14:val="tx1"/>
                  </w14:solidFill>
                </w14:textFill>
              </w:rPr>
              <w:t xml:space="preserve">             </w:t>
            </w:r>
          </w:p>
        </w:tc>
      </w:tr>
      <w:tr w14:paraId="7FBE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73F19CC0">
            <w:pPr>
              <w:widowControl/>
              <w:spacing w:line="360" w:lineRule="exact"/>
              <w:jc w:val="center"/>
              <w:rPr>
                <w:color w:val="auto"/>
                <w:szCs w:val="21"/>
              </w:rPr>
            </w:pPr>
            <w:r>
              <w:rPr>
                <w:rFonts w:hint="eastAsia"/>
                <w:color w:val="000000" w:themeColor="text1"/>
                <w:szCs w:val="21"/>
                <w14:textFill>
                  <w14:solidFill>
                    <w14:schemeClr w14:val="tx1"/>
                  </w14:solidFill>
                </w14:textFill>
              </w:rPr>
              <w:t>行业类别</w:t>
            </w:r>
          </w:p>
        </w:tc>
        <w:tc>
          <w:tcPr>
            <w:tcW w:w="6115" w:type="dxa"/>
            <w:gridSpan w:val="6"/>
            <w:vAlign w:val="center"/>
          </w:tcPr>
          <w:p w14:paraId="1D960B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auto"/>
                <w:lang w:val="en-US"/>
              </w:rPr>
            </w:pPr>
            <w:r>
              <w:rPr>
                <w:rFonts w:hint="eastAsia"/>
                <w:color w:val="000000" w:themeColor="text1"/>
                <w:szCs w:val="21"/>
                <w:lang w:val="en-US" w:eastAsia="zh-CN"/>
                <w14:textFill>
                  <w14:solidFill>
                    <w14:schemeClr w14:val="tx1"/>
                  </w14:solidFill>
                </w14:textFill>
              </w:rPr>
              <w:t>D4620污水处理及再生利用</w:t>
            </w:r>
          </w:p>
        </w:tc>
      </w:tr>
      <w:tr w14:paraId="2D0E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2199A30">
            <w:pPr>
              <w:widowControl/>
              <w:spacing w:line="360" w:lineRule="exact"/>
              <w:jc w:val="center"/>
              <w:rPr>
                <w:color w:val="auto"/>
                <w:szCs w:val="21"/>
              </w:rPr>
            </w:pPr>
            <w:r>
              <w:rPr>
                <w:rFonts w:hint="eastAsia"/>
                <w:color w:val="auto"/>
                <w:szCs w:val="20"/>
              </w:rPr>
              <w:t>排污许可证或排污登记编号</w:t>
            </w:r>
          </w:p>
        </w:tc>
        <w:tc>
          <w:tcPr>
            <w:tcW w:w="6115" w:type="dxa"/>
            <w:gridSpan w:val="6"/>
            <w:shd w:val="clear" w:color="auto" w:fill="auto"/>
            <w:vAlign w:val="center"/>
          </w:tcPr>
          <w:p w14:paraId="3B682051">
            <w:pPr>
              <w:widowControl/>
              <w:spacing w:line="360" w:lineRule="exact"/>
              <w:rPr>
                <w:rFonts w:hint="default" w:ascii="Times New Roman" w:hAnsi="Times New Roman" w:eastAsia="宋体" w:cs="Times New Roman"/>
                <w:color w:val="auto"/>
                <w:kern w:val="2"/>
                <w:sz w:val="21"/>
                <w:szCs w:val="22"/>
                <w:lang w:val="en-US" w:eastAsia="zh-CN" w:bidi="ar-SA"/>
              </w:rPr>
            </w:pPr>
            <w:r>
              <w:rPr>
                <w:rFonts w:hint="eastAsia" w:cs="Times New Roman"/>
                <w:color w:val="000000" w:themeColor="text1"/>
                <w:kern w:val="0"/>
                <w:szCs w:val="21"/>
                <w:highlight w:val="none"/>
                <w:lang w:val="en-US" w:eastAsia="zh-CN"/>
                <w14:textFill>
                  <w14:solidFill>
                    <w14:schemeClr w14:val="tx1"/>
                  </w14:solidFill>
                </w14:textFill>
              </w:rPr>
              <w:t>9121120059806135XE001V</w:t>
            </w:r>
          </w:p>
        </w:tc>
      </w:tr>
      <w:tr w14:paraId="76F1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30" w:type="dxa"/>
            <w:vMerge w:val="restart"/>
            <w:vAlign w:val="center"/>
          </w:tcPr>
          <w:p w14:paraId="35B2B584">
            <w:pPr>
              <w:widowControl/>
              <w:spacing w:line="360" w:lineRule="exact"/>
              <w:jc w:val="center"/>
              <w:rPr>
                <w:color w:val="auto"/>
                <w:szCs w:val="21"/>
              </w:rPr>
            </w:pPr>
            <w:r>
              <w:rPr>
                <w:rFonts w:hint="eastAsia"/>
                <w:color w:val="auto"/>
                <w:szCs w:val="21"/>
              </w:rPr>
              <w:t>入河排污口</w:t>
            </w:r>
          </w:p>
          <w:p w14:paraId="3BCB3019">
            <w:pPr>
              <w:widowControl/>
              <w:spacing w:line="360" w:lineRule="exact"/>
              <w:jc w:val="center"/>
              <w:rPr>
                <w:color w:val="auto"/>
                <w:szCs w:val="21"/>
              </w:rPr>
            </w:pPr>
            <w:r>
              <w:rPr>
                <w:rFonts w:hint="eastAsia"/>
                <w:color w:val="auto"/>
                <w:szCs w:val="21"/>
              </w:rPr>
              <w:t>设置地点</w:t>
            </w:r>
          </w:p>
        </w:tc>
        <w:tc>
          <w:tcPr>
            <w:tcW w:w="6115" w:type="dxa"/>
            <w:gridSpan w:val="6"/>
            <w:vAlign w:val="center"/>
          </w:tcPr>
          <w:p w14:paraId="42A984C4">
            <w:pPr>
              <w:widowControl/>
              <w:snapToGrid w:val="0"/>
              <w:spacing w:line="360" w:lineRule="exact"/>
              <w:rPr>
                <w:color w:val="auto"/>
                <w:szCs w:val="21"/>
              </w:rPr>
            </w:pPr>
            <w:r>
              <w:rPr>
                <w:rFonts w:hint="eastAsia"/>
                <w:color w:val="000000" w:themeColor="text1"/>
                <w:szCs w:val="21"/>
                <w14:textFill>
                  <w14:solidFill>
                    <w14:schemeClr w14:val="tx1"/>
                  </w14:solidFill>
                </w14:textFill>
              </w:rPr>
              <w:t>所在行政区域：</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辽宁</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省（自治区、直辖市）</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铁岭</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市（州、盟）</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调兵山市</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（区、旗）</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施荒地村</w:t>
            </w:r>
            <w:r>
              <w:rPr>
                <w:rFonts w:hint="eastAsia"/>
                <w:color w:val="000000" w:themeColor="text1"/>
                <w:szCs w:val="21"/>
                <w14:textFill>
                  <w14:solidFill>
                    <w14:schemeClr w14:val="tx1"/>
                  </w14:solidFill>
                </w14:textFill>
              </w:rPr>
              <w:t>（乡</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镇、街道）</w:t>
            </w:r>
            <w:r>
              <w:rPr>
                <w:color w:val="auto"/>
                <w:szCs w:val="21"/>
                <w:u w:val="single"/>
              </w:rPr>
              <w:t xml:space="preserve"> </w:t>
            </w:r>
            <w:r>
              <w:rPr>
                <w:rFonts w:hint="eastAsia"/>
                <w:color w:val="auto"/>
                <w:szCs w:val="21"/>
                <w:u w:val="single"/>
                <w:lang w:val="en-US" w:eastAsia="zh-CN"/>
              </w:rPr>
              <w:t>长沟河支流南岸</w:t>
            </w:r>
            <w:r>
              <w:rPr>
                <w:color w:val="auto"/>
                <w:szCs w:val="21"/>
                <w:u w:val="single"/>
              </w:rPr>
              <w:t xml:space="preserve"> </w:t>
            </w:r>
            <w:r>
              <w:rPr>
                <w:color w:val="000000" w:themeColor="text1"/>
                <w:szCs w:val="21"/>
                <w:u w:val="single"/>
                <w14:textFill>
                  <w14:solidFill>
                    <w14:schemeClr w14:val="tx1"/>
                  </w14:solidFill>
                </w14:textFill>
              </w:rPr>
              <w:t xml:space="preserve"> </w:t>
            </w:r>
          </w:p>
        </w:tc>
      </w:tr>
      <w:tr w14:paraId="6A17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0" w:type="dxa"/>
            <w:vMerge w:val="continue"/>
            <w:vAlign w:val="center"/>
          </w:tcPr>
          <w:p w14:paraId="08625930">
            <w:pPr>
              <w:widowControl/>
              <w:spacing w:line="360" w:lineRule="exact"/>
              <w:jc w:val="center"/>
              <w:rPr>
                <w:color w:val="auto"/>
                <w:szCs w:val="21"/>
              </w:rPr>
            </w:pPr>
          </w:p>
        </w:tc>
        <w:tc>
          <w:tcPr>
            <w:tcW w:w="6115" w:type="dxa"/>
            <w:gridSpan w:val="6"/>
            <w:vAlign w:val="center"/>
          </w:tcPr>
          <w:p w14:paraId="0B11B959">
            <w:pPr>
              <w:widowControl/>
              <w:snapToGrid w:val="0"/>
              <w:spacing w:line="360" w:lineRule="exact"/>
              <w:rPr>
                <w:rFonts w:hint="eastAsia" w:eastAsia="宋体"/>
                <w:color w:val="auto"/>
                <w:szCs w:val="21"/>
                <w:lang w:eastAsia="zh-CN"/>
              </w:rPr>
            </w:pPr>
            <w:r>
              <w:rPr>
                <w:rFonts w:hint="eastAsia"/>
                <w:color w:val="000000" w:themeColor="text1"/>
                <w:szCs w:val="21"/>
                <w14:textFill>
                  <w14:solidFill>
                    <w14:schemeClr w14:val="tx1"/>
                  </w14:solidFill>
                </w14:textFill>
              </w:rPr>
              <w:t>排入水体名称：</w:t>
            </w:r>
            <w:r>
              <w:rPr>
                <w:rFonts w:hint="eastAsia"/>
                <w:color w:val="000000" w:themeColor="text1"/>
                <w:szCs w:val="21"/>
                <w:lang w:eastAsia="zh-CN"/>
                <w14:textFill>
                  <w14:solidFill>
                    <w14:schemeClr w14:val="tx1"/>
                  </w14:solidFill>
                </w14:textFill>
              </w:rPr>
              <w:t>南岭</w:t>
            </w:r>
            <w:r>
              <w:rPr>
                <w:rFonts w:hint="eastAsia"/>
                <w:color w:val="000000" w:themeColor="text1"/>
                <w:szCs w:val="21"/>
                <w:lang w:val="en-US" w:eastAsia="zh-CN"/>
                <w14:textFill>
                  <w14:solidFill>
                    <w14:schemeClr w14:val="tx1"/>
                  </w14:solidFill>
                </w14:textFill>
              </w:rPr>
              <w:t>河</w:t>
            </w:r>
          </w:p>
        </w:tc>
      </w:tr>
      <w:tr w14:paraId="3A42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30" w:type="dxa"/>
            <w:vMerge w:val="continue"/>
            <w:vAlign w:val="center"/>
          </w:tcPr>
          <w:p w14:paraId="2CF1FF61">
            <w:pPr>
              <w:widowControl/>
              <w:spacing w:line="360" w:lineRule="exact"/>
              <w:jc w:val="center"/>
              <w:rPr>
                <w:color w:val="auto"/>
                <w:szCs w:val="21"/>
              </w:rPr>
            </w:pPr>
          </w:p>
        </w:tc>
        <w:tc>
          <w:tcPr>
            <w:tcW w:w="6115" w:type="dxa"/>
            <w:gridSpan w:val="6"/>
            <w:vAlign w:val="center"/>
          </w:tcPr>
          <w:p w14:paraId="317C6E4D">
            <w:pPr>
              <w:widowControl/>
              <w:snapToGrid w:val="0"/>
              <w:spacing w:line="360" w:lineRule="exact"/>
              <w:rPr>
                <w:rFonts w:hint="eastAsia" w:eastAsia="宋体"/>
                <w:color w:val="auto"/>
                <w:szCs w:val="21"/>
                <w:lang w:val="en-US" w:eastAsia="zh-CN"/>
              </w:rPr>
            </w:pPr>
            <w:r>
              <w:rPr>
                <w:rFonts w:hint="eastAsia"/>
                <w:color w:val="000000" w:themeColor="text1"/>
                <w:szCs w:val="21"/>
                <w14:textFill>
                  <w14:solidFill>
                    <w14:schemeClr w14:val="tx1"/>
                  </w14:solidFill>
                </w14:textFill>
              </w:rPr>
              <w:t>所在流域：</w:t>
            </w:r>
            <w:r>
              <w:rPr>
                <w:rFonts w:hint="eastAsia"/>
                <w:color w:val="000000" w:themeColor="text1"/>
                <w:szCs w:val="21"/>
                <w:lang w:eastAsia="zh-CN"/>
                <w14:textFill>
                  <w14:solidFill>
                    <w14:schemeClr w14:val="tx1"/>
                  </w14:solidFill>
                </w14:textFill>
              </w:rPr>
              <w:t>辽河流域</w:t>
            </w:r>
          </w:p>
        </w:tc>
      </w:tr>
      <w:tr w14:paraId="1059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830" w:type="dxa"/>
            <w:vMerge w:val="continue"/>
            <w:vAlign w:val="center"/>
          </w:tcPr>
          <w:p w14:paraId="259E6674">
            <w:pPr>
              <w:widowControl/>
              <w:spacing w:line="360" w:lineRule="exact"/>
              <w:jc w:val="center"/>
              <w:rPr>
                <w:color w:val="auto"/>
                <w:szCs w:val="21"/>
              </w:rPr>
            </w:pPr>
          </w:p>
        </w:tc>
        <w:tc>
          <w:tcPr>
            <w:tcW w:w="6115" w:type="dxa"/>
            <w:gridSpan w:val="6"/>
            <w:vAlign w:val="center"/>
          </w:tcPr>
          <w:p w14:paraId="0424B81D">
            <w:pPr>
              <w:widowControl/>
              <w:snapToGrid w:val="0"/>
              <w:spacing w:line="360" w:lineRule="exact"/>
              <w:rPr>
                <w:rFonts w:ascii="Times New Roman" w:hAnsi="Times New Roman" w:eastAsia="宋体" w:cs="Times New Roman"/>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经度（十进制精确到小数点后六位，</w:t>
            </w:r>
            <w:r>
              <w:rPr>
                <w:color w:val="000000" w:themeColor="text1"/>
                <w:szCs w:val="21"/>
                <w:highlight w:val="none"/>
                <w14:textFill>
                  <w14:solidFill>
                    <w14:schemeClr w14:val="tx1"/>
                  </w14:solidFill>
                </w14:textFill>
              </w:rPr>
              <w:t>CGCS2000</w:t>
            </w:r>
            <w:r>
              <w:rPr>
                <w:rFonts w:hint="eastAsia"/>
                <w:color w:val="000000" w:themeColor="text1"/>
                <w:szCs w:val="21"/>
                <w:highlight w:val="none"/>
                <w14:textFill>
                  <w14:solidFill>
                    <w14:schemeClr w14:val="tx1"/>
                  </w14:solidFill>
                </w14:textFill>
              </w:rPr>
              <w:t>坐标</w:t>
            </w:r>
            <w:r>
              <w:rPr>
                <w:rFonts w:hint="eastAsia" w:ascii="Times New Roman" w:hAnsi="Times New Roman" w:eastAsia="宋体" w:cs="Times New Roman"/>
                <w:color w:val="000000" w:themeColor="text1"/>
                <w:szCs w:val="21"/>
                <w:highlight w:val="none"/>
                <w14:textFill>
                  <w14:solidFill>
                    <w14:schemeClr w14:val="tx1"/>
                  </w14:solidFill>
                </w14:textFill>
              </w:rPr>
              <w:t>系）：12</w:t>
            </w:r>
            <w:r>
              <w:rPr>
                <w:rFonts w:hint="eastAsia" w:cs="Times New Roman"/>
                <w:color w:val="000000" w:themeColor="text1"/>
                <w:szCs w:val="21"/>
                <w:highlight w:val="none"/>
                <w:lang w:val="en-US" w:eastAsia="zh-CN"/>
                <w14:textFill>
                  <w14:solidFill>
                    <w14:schemeClr w14:val="tx1"/>
                  </w14:solidFill>
                </w14:textFill>
              </w:rPr>
              <w:t>3.567747</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p>
          <w:p w14:paraId="5C9D776F">
            <w:pPr>
              <w:widowControl/>
              <w:snapToGrid w:val="0"/>
              <w:spacing w:line="360" w:lineRule="exact"/>
              <w:rPr>
                <w:color w:val="auto"/>
              </w:rPr>
            </w:pPr>
            <w:r>
              <w:rPr>
                <w:rFonts w:hint="eastAsia" w:ascii="Times New Roman" w:hAnsi="Times New Roman" w:eastAsia="宋体" w:cs="Times New Roman"/>
                <w:color w:val="000000" w:themeColor="text1"/>
                <w:szCs w:val="21"/>
                <w:highlight w:val="none"/>
                <w14:textFill>
                  <w14:solidFill>
                    <w14:schemeClr w14:val="tx1"/>
                  </w14:solidFill>
                </w14:textFill>
              </w:rPr>
              <w:t>纬度（十进制精确到小数点后六位，</w:t>
            </w:r>
            <w:r>
              <w:rPr>
                <w:rFonts w:ascii="Times New Roman" w:hAnsi="Times New Roman" w:eastAsia="宋体" w:cs="Times New Roman"/>
                <w:color w:val="000000" w:themeColor="text1"/>
                <w:szCs w:val="21"/>
                <w:highlight w:val="none"/>
                <w14:textFill>
                  <w14:solidFill>
                    <w14:schemeClr w14:val="tx1"/>
                  </w14:solidFill>
                </w14:textFill>
              </w:rPr>
              <w:t>CGCS2000</w:t>
            </w:r>
            <w:r>
              <w:rPr>
                <w:rFonts w:hint="eastAsia" w:ascii="Times New Roman" w:hAnsi="Times New Roman" w:eastAsia="宋体" w:cs="Times New Roman"/>
                <w:color w:val="000000" w:themeColor="text1"/>
                <w:szCs w:val="21"/>
                <w:highlight w:val="none"/>
                <w14:textFill>
                  <w14:solidFill>
                    <w14:schemeClr w14:val="tx1"/>
                  </w14:solidFill>
                </w14:textFill>
              </w:rPr>
              <w:t>坐标系）：</w:t>
            </w:r>
            <w:r>
              <w:rPr>
                <w:rFonts w:hint="eastAsia" w:cs="Times New Roman"/>
                <w:color w:val="000000" w:themeColor="text1"/>
                <w:szCs w:val="21"/>
                <w:highlight w:val="none"/>
                <w:lang w:val="en-US" w:eastAsia="zh-CN"/>
                <w14:textFill>
                  <w14:solidFill>
                    <w14:schemeClr w14:val="tx1"/>
                  </w14:solidFill>
                </w14:textFill>
              </w:rPr>
              <w:t>42.444453</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p>
        </w:tc>
      </w:tr>
      <w:tr w14:paraId="7A9D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30" w:type="dxa"/>
            <w:vAlign w:val="center"/>
          </w:tcPr>
          <w:p w14:paraId="04DBFF51">
            <w:pPr>
              <w:widowControl/>
              <w:spacing w:line="360" w:lineRule="exact"/>
              <w:jc w:val="center"/>
              <w:rPr>
                <w:color w:val="auto"/>
                <w:szCs w:val="20"/>
              </w:rPr>
            </w:pPr>
            <w:r>
              <w:rPr>
                <w:rFonts w:hint="eastAsia"/>
                <w:color w:val="auto"/>
                <w:szCs w:val="20"/>
              </w:rPr>
              <w:t>污水排放方式</w:t>
            </w:r>
          </w:p>
        </w:tc>
        <w:tc>
          <w:tcPr>
            <w:tcW w:w="1259" w:type="dxa"/>
            <w:vAlign w:val="center"/>
          </w:tcPr>
          <w:p w14:paraId="09B4FCB2">
            <w:pPr>
              <w:widowControl/>
              <w:spacing w:line="360" w:lineRule="exact"/>
              <w:rPr>
                <w:color w:val="auto"/>
                <w:szCs w:val="20"/>
              </w:rPr>
            </w:pPr>
            <w:r>
              <w:rPr>
                <w:color w:val="auto"/>
                <w:szCs w:val="20"/>
              </w:rPr>
              <w:sym w:font="Wingdings 2" w:char="0052"/>
            </w:r>
            <w:r>
              <w:rPr>
                <w:rFonts w:hint="eastAsia"/>
                <w:color w:val="auto"/>
                <w:szCs w:val="20"/>
              </w:rPr>
              <w:t>连续</w:t>
            </w:r>
            <w:r>
              <w:rPr>
                <w:color w:val="auto"/>
                <w:szCs w:val="20"/>
              </w:rPr>
              <w:t xml:space="preserve"> </w:t>
            </w:r>
          </w:p>
          <w:p w14:paraId="454FD53C">
            <w:pPr>
              <w:widowControl/>
              <w:spacing w:line="360" w:lineRule="exact"/>
              <w:rPr>
                <w:color w:val="auto"/>
                <w:szCs w:val="20"/>
              </w:rPr>
            </w:pPr>
            <w:r>
              <w:rPr>
                <w:color w:val="auto"/>
                <w:szCs w:val="20"/>
              </w:rPr>
              <w:sym w:font="Wingdings" w:char="00A8"/>
            </w:r>
            <w:r>
              <w:rPr>
                <w:rFonts w:hint="eastAsia"/>
                <w:color w:val="auto"/>
                <w:szCs w:val="20"/>
              </w:rPr>
              <w:t>间歇</w:t>
            </w:r>
          </w:p>
        </w:tc>
        <w:tc>
          <w:tcPr>
            <w:tcW w:w="725" w:type="dxa"/>
            <w:vMerge w:val="restart"/>
            <w:vAlign w:val="center"/>
          </w:tcPr>
          <w:p w14:paraId="28429B71">
            <w:pPr>
              <w:widowControl/>
              <w:spacing w:line="360" w:lineRule="exact"/>
              <w:ind w:right="-105" w:rightChars="-50"/>
              <w:rPr>
                <w:color w:val="auto"/>
                <w:szCs w:val="20"/>
              </w:rPr>
            </w:pPr>
            <w:r>
              <w:rPr>
                <w:rFonts w:hint="eastAsia"/>
                <w:color w:val="auto"/>
                <w:szCs w:val="20"/>
              </w:rPr>
              <w:t>入河</w:t>
            </w:r>
          </w:p>
          <w:p w14:paraId="355727A9">
            <w:pPr>
              <w:widowControl/>
              <w:spacing w:line="360" w:lineRule="exact"/>
              <w:ind w:right="-105" w:rightChars="-50"/>
              <w:rPr>
                <w:color w:val="auto"/>
                <w:szCs w:val="20"/>
              </w:rPr>
            </w:pPr>
            <w:r>
              <w:rPr>
                <w:rFonts w:hint="eastAsia"/>
                <w:color w:val="auto"/>
                <w:szCs w:val="20"/>
              </w:rPr>
              <w:t>方式</w:t>
            </w:r>
          </w:p>
        </w:tc>
        <w:tc>
          <w:tcPr>
            <w:tcW w:w="4131" w:type="dxa"/>
            <w:gridSpan w:val="4"/>
            <w:vMerge w:val="restart"/>
            <w:vAlign w:val="center"/>
          </w:tcPr>
          <w:p w14:paraId="6DCF1781">
            <w:pPr>
              <w:spacing w:line="360" w:lineRule="exact"/>
              <w:ind w:firstLine="315" w:firstLineChars="150"/>
              <w:rPr>
                <w:color w:val="auto"/>
                <w:szCs w:val="20"/>
              </w:rPr>
            </w:pPr>
            <w:r>
              <w:rPr>
                <w:rFonts w:hint="eastAsia"/>
                <w:color w:val="auto"/>
                <w:szCs w:val="20"/>
              </w:rPr>
              <w:sym w:font="Wingdings" w:char="00A8"/>
            </w:r>
            <w:r>
              <w:rPr>
                <w:rFonts w:hint="eastAsia"/>
                <w:color w:val="auto"/>
                <w:szCs w:val="20"/>
              </w:rPr>
              <w:t>明渠</w:t>
            </w:r>
            <w:r>
              <w:rPr>
                <w:color w:val="auto"/>
                <w:szCs w:val="20"/>
              </w:rPr>
              <w:t xml:space="preserve">  </w:t>
            </w:r>
            <w:r>
              <w:rPr>
                <w:color w:val="auto"/>
                <w:szCs w:val="20"/>
              </w:rPr>
              <w:sym w:font="Wingdings" w:char="00FE"/>
            </w:r>
            <w:r>
              <w:rPr>
                <w:rFonts w:hint="eastAsia"/>
                <w:color w:val="auto"/>
                <w:szCs w:val="20"/>
              </w:rPr>
              <w:t>管道</w:t>
            </w:r>
          </w:p>
          <w:p w14:paraId="08309AB4">
            <w:pPr>
              <w:spacing w:line="360" w:lineRule="exact"/>
              <w:ind w:firstLine="315" w:firstLineChars="150"/>
              <w:rPr>
                <w:color w:val="auto"/>
                <w:szCs w:val="20"/>
              </w:rPr>
            </w:pPr>
            <w:r>
              <w:rPr>
                <w:color w:val="auto"/>
                <w:szCs w:val="20"/>
              </w:rPr>
              <w:sym w:font="Wingdings 2" w:char="00A3"/>
            </w:r>
            <w:r>
              <w:rPr>
                <w:rFonts w:hint="eastAsia"/>
                <w:color w:val="auto"/>
                <w:szCs w:val="20"/>
              </w:rPr>
              <w:t>泵站</w:t>
            </w:r>
            <w:r>
              <w:rPr>
                <w:color w:val="auto"/>
                <w:szCs w:val="20"/>
              </w:rPr>
              <w:t xml:space="preserve">  </w:t>
            </w:r>
            <w:r>
              <w:rPr>
                <w:color w:val="auto"/>
                <w:szCs w:val="20"/>
              </w:rPr>
              <w:sym w:font="Wingdings 2" w:char="00A3"/>
            </w:r>
            <w:r>
              <w:rPr>
                <w:rFonts w:hint="eastAsia"/>
                <w:color w:val="auto"/>
                <w:szCs w:val="20"/>
              </w:rPr>
              <w:t>涵闸</w:t>
            </w:r>
          </w:p>
          <w:p w14:paraId="08876E4B">
            <w:pPr>
              <w:widowControl/>
              <w:spacing w:line="360" w:lineRule="exact"/>
              <w:ind w:firstLine="315" w:firstLineChars="150"/>
              <w:rPr>
                <w:color w:val="auto"/>
                <w:szCs w:val="20"/>
              </w:rPr>
            </w:pPr>
            <w:r>
              <w:rPr>
                <w:color w:val="auto"/>
                <w:szCs w:val="20"/>
              </w:rPr>
              <w:sym w:font="Wingdings 2" w:char="00A3"/>
            </w:r>
            <w:r>
              <w:rPr>
                <w:rFonts w:hint="eastAsia"/>
                <w:color w:val="auto"/>
                <w:szCs w:val="20"/>
              </w:rPr>
              <w:t>箱涵</w:t>
            </w:r>
            <w:r>
              <w:rPr>
                <w:color w:val="auto"/>
                <w:szCs w:val="20"/>
              </w:rPr>
              <w:t xml:space="preserve">  </w:t>
            </w:r>
            <w:r>
              <w:rPr>
                <w:color w:val="auto"/>
                <w:szCs w:val="20"/>
              </w:rPr>
              <w:sym w:font="Wingdings 2" w:char="00A3"/>
            </w:r>
            <w:r>
              <w:rPr>
                <w:rFonts w:hint="eastAsia"/>
                <w:color w:val="auto"/>
                <w:szCs w:val="20"/>
              </w:rPr>
              <w:t>其他：</w:t>
            </w:r>
            <w:r>
              <w:rPr>
                <w:color w:val="auto"/>
                <w:szCs w:val="20"/>
              </w:rPr>
              <w:t>_______</w:t>
            </w:r>
          </w:p>
        </w:tc>
      </w:tr>
      <w:tr w14:paraId="59A0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30" w:type="dxa"/>
            <w:vAlign w:val="center"/>
          </w:tcPr>
          <w:p w14:paraId="1BF09FA4">
            <w:pPr>
              <w:widowControl/>
              <w:spacing w:line="360" w:lineRule="exact"/>
              <w:jc w:val="center"/>
              <w:rPr>
                <w:color w:val="auto"/>
                <w:szCs w:val="20"/>
              </w:rPr>
            </w:pPr>
            <w:r>
              <w:rPr>
                <w:rFonts w:hint="eastAsia"/>
                <w:color w:val="auto"/>
                <w:szCs w:val="21"/>
              </w:rPr>
              <w:t>是否共用</w:t>
            </w:r>
          </w:p>
        </w:tc>
        <w:tc>
          <w:tcPr>
            <w:tcW w:w="1259" w:type="dxa"/>
            <w:vAlign w:val="center"/>
          </w:tcPr>
          <w:p w14:paraId="47805E33">
            <w:pPr>
              <w:widowControl/>
              <w:spacing w:line="360" w:lineRule="exact"/>
              <w:rPr>
                <w:color w:val="auto"/>
                <w:szCs w:val="20"/>
              </w:rPr>
            </w:pPr>
            <w:r>
              <w:rPr>
                <w:color w:val="auto"/>
                <w:szCs w:val="20"/>
              </w:rPr>
              <w:sym w:font="Wingdings" w:char="00A8"/>
            </w:r>
            <w:r>
              <w:rPr>
                <w:rFonts w:hint="eastAsia"/>
                <w:color w:val="auto"/>
                <w:szCs w:val="20"/>
              </w:rPr>
              <w:t>是</w:t>
            </w:r>
          </w:p>
          <w:p w14:paraId="5AEFE24F">
            <w:pPr>
              <w:widowControl/>
              <w:spacing w:line="360" w:lineRule="exact"/>
              <w:rPr>
                <w:color w:val="auto"/>
                <w:szCs w:val="20"/>
              </w:rPr>
            </w:pPr>
            <w:r>
              <w:rPr>
                <w:color w:val="auto"/>
                <w:szCs w:val="20"/>
              </w:rPr>
              <w:sym w:font="Wingdings 2" w:char="0052"/>
            </w:r>
            <w:r>
              <w:rPr>
                <w:rFonts w:hint="eastAsia"/>
                <w:color w:val="auto"/>
                <w:szCs w:val="20"/>
              </w:rPr>
              <w:t>否</w:t>
            </w:r>
          </w:p>
        </w:tc>
        <w:tc>
          <w:tcPr>
            <w:tcW w:w="725" w:type="dxa"/>
            <w:vMerge w:val="continue"/>
            <w:vAlign w:val="center"/>
          </w:tcPr>
          <w:p w14:paraId="6126D2CD">
            <w:pPr>
              <w:widowControl/>
              <w:spacing w:line="360" w:lineRule="exact"/>
              <w:rPr>
                <w:color w:val="auto"/>
                <w:szCs w:val="20"/>
              </w:rPr>
            </w:pPr>
          </w:p>
        </w:tc>
        <w:tc>
          <w:tcPr>
            <w:tcW w:w="4131" w:type="dxa"/>
            <w:gridSpan w:val="4"/>
            <w:vMerge w:val="continue"/>
            <w:vAlign w:val="center"/>
          </w:tcPr>
          <w:p w14:paraId="39D6BDA8">
            <w:pPr>
              <w:widowControl/>
              <w:spacing w:line="360" w:lineRule="exact"/>
              <w:rPr>
                <w:color w:val="auto"/>
                <w:szCs w:val="20"/>
              </w:rPr>
            </w:pPr>
          </w:p>
        </w:tc>
      </w:tr>
      <w:tr w14:paraId="7C42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830" w:type="dxa"/>
            <w:vMerge w:val="restart"/>
            <w:vAlign w:val="center"/>
          </w:tcPr>
          <w:p w14:paraId="1B1D3ADE">
            <w:pPr>
              <w:widowControl/>
              <w:spacing w:line="360" w:lineRule="exact"/>
              <w:jc w:val="center"/>
              <w:rPr>
                <w:color w:val="auto"/>
                <w:szCs w:val="20"/>
              </w:rPr>
            </w:pPr>
            <w:r>
              <w:rPr>
                <w:rFonts w:hint="eastAsia"/>
                <w:color w:val="000000" w:themeColor="text1"/>
                <w:szCs w:val="28"/>
                <w14:textFill>
                  <w14:solidFill>
                    <w14:schemeClr w14:val="tx1"/>
                  </w14:solidFill>
                </w14:textFill>
              </w:rPr>
              <w:t>入河排污口截面信息</w:t>
            </w:r>
          </w:p>
        </w:tc>
        <w:tc>
          <w:tcPr>
            <w:tcW w:w="6115" w:type="dxa"/>
            <w:gridSpan w:val="6"/>
            <w:vAlign w:val="center"/>
          </w:tcPr>
          <w:p w14:paraId="4BE77D0B">
            <w:pPr>
              <w:widowControl/>
              <w:tabs>
                <w:tab w:val="center" w:pos="2949"/>
              </w:tabs>
              <w:spacing w:line="360" w:lineRule="exact"/>
              <w:rPr>
                <w:rFonts w:hint="eastAsia" w:eastAsia="宋体"/>
                <w:color w:val="auto"/>
                <w:szCs w:val="20"/>
                <w:lang w:eastAsia="zh-CN"/>
              </w:rPr>
            </w:pPr>
            <w:r>
              <w:rPr>
                <w:color w:val="000000" w:themeColor="text1"/>
                <w:szCs w:val="20"/>
                <w14:textFill>
                  <w14:solidFill>
                    <w14:schemeClr w14:val="tx1"/>
                  </w14:solidFill>
                </w14:textFill>
              </w:rPr>
              <w:sym w:font="Wingdings 2" w:char="0052"/>
            </w:r>
            <w:r>
              <w:rPr>
                <w:rFonts w:hint="eastAsia"/>
                <w:color w:val="000000" w:themeColor="text1"/>
                <w:szCs w:val="20"/>
                <w14:textFill>
                  <w14:solidFill>
                    <w14:schemeClr w14:val="tx1"/>
                  </w14:solidFill>
                </w14:textFill>
              </w:rPr>
              <w:t>圆形截面：</w:t>
            </w:r>
            <w:r>
              <w:rPr>
                <w:color w:val="000000" w:themeColor="text1"/>
                <w:szCs w:val="20"/>
                <w14:textFill>
                  <w14:solidFill>
                    <w14:schemeClr w14:val="tx1"/>
                  </w14:solidFill>
                </w14:textFill>
              </w:rPr>
              <w:t>d=</w:t>
            </w:r>
            <w:r>
              <w:rPr>
                <w:rFonts w:hint="eastAsia"/>
                <w:color w:val="000000" w:themeColor="text1"/>
                <w:szCs w:val="20"/>
                <w:lang w:val="en-US" w:eastAsia="zh-CN"/>
                <w14:textFill>
                  <w14:solidFill>
                    <w14:schemeClr w14:val="tx1"/>
                  </w14:solidFill>
                </w14:textFill>
              </w:rPr>
              <w:t>0.9</w:t>
            </w:r>
            <w:r>
              <w:rPr>
                <w:color w:val="000000" w:themeColor="text1"/>
                <w:szCs w:val="20"/>
                <w14:textFill>
                  <w14:solidFill>
                    <w14:schemeClr w14:val="tx1"/>
                  </w14:solidFill>
                </w14:textFill>
              </w:rPr>
              <w:t>m</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S=</w:t>
            </w:r>
            <w:r>
              <w:rPr>
                <w:rFonts w:hint="eastAsia"/>
                <w:color w:val="000000" w:themeColor="text1"/>
                <w:szCs w:val="20"/>
                <w:lang w:val="en-US" w:eastAsia="zh-CN"/>
                <w14:textFill>
                  <w14:solidFill>
                    <w14:schemeClr w14:val="tx1"/>
                  </w14:solidFill>
                </w14:textFill>
              </w:rPr>
              <w:t>0.64</w:t>
            </w:r>
            <w:r>
              <w:rPr>
                <w:color w:val="000000" w:themeColor="text1"/>
                <w:szCs w:val="20"/>
                <w14:textFill>
                  <w14:solidFill>
                    <w14:schemeClr w14:val="tx1"/>
                  </w14:solidFill>
                </w14:textFill>
              </w:rPr>
              <w:t>m</w:t>
            </w:r>
            <w:r>
              <w:rPr>
                <w:color w:val="000000" w:themeColor="text1"/>
                <w:szCs w:val="20"/>
                <w:vertAlign w:val="superscript"/>
                <w14:textFill>
                  <w14:solidFill>
                    <w14:schemeClr w14:val="tx1"/>
                  </w14:solidFill>
                </w14:textFill>
              </w:rPr>
              <w:t>2</w:t>
            </w:r>
            <w:r>
              <w:rPr>
                <w:rFonts w:hint="eastAsia"/>
                <w:color w:val="000000" w:themeColor="text1"/>
                <w:szCs w:val="20"/>
                <w:vertAlign w:val="superscript"/>
                <w:lang w:eastAsia="zh-CN"/>
                <w14:textFill>
                  <w14:solidFill>
                    <w14:schemeClr w14:val="tx1"/>
                  </w14:solidFill>
                </w14:textFill>
              </w:rPr>
              <w:tab/>
            </w:r>
          </w:p>
        </w:tc>
      </w:tr>
      <w:tr w14:paraId="05FA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830" w:type="dxa"/>
            <w:vMerge w:val="continue"/>
            <w:vAlign w:val="center"/>
          </w:tcPr>
          <w:p w14:paraId="3367DF44">
            <w:pPr>
              <w:widowControl/>
              <w:spacing w:line="360" w:lineRule="exact"/>
              <w:rPr>
                <w:color w:val="auto"/>
                <w:szCs w:val="28"/>
              </w:rPr>
            </w:pPr>
          </w:p>
        </w:tc>
        <w:tc>
          <w:tcPr>
            <w:tcW w:w="6115" w:type="dxa"/>
            <w:gridSpan w:val="6"/>
            <w:vAlign w:val="center"/>
          </w:tcPr>
          <w:p w14:paraId="2EB6109D">
            <w:pPr>
              <w:spacing w:line="360" w:lineRule="exact"/>
              <w:rPr>
                <w:color w:val="auto"/>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方形截面：</w:t>
            </w:r>
            <w:r>
              <w:rPr>
                <w:color w:val="000000" w:themeColor="text1"/>
                <w:szCs w:val="20"/>
                <w14:textFill>
                  <w14:solidFill>
                    <w14:schemeClr w14:val="tx1"/>
                  </w14:solidFill>
                </w14:textFill>
              </w:rPr>
              <w:t>L×B=   m×  m</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S=   m</w:t>
            </w:r>
            <w:r>
              <w:rPr>
                <w:color w:val="000000" w:themeColor="text1"/>
                <w:szCs w:val="20"/>
                <w:vertAlign w:val="superscript"/>
                <w14:textFill>
                  <w14:solidFill>
                    <w14:schemeClr w14:val="tx1"/>
                  </w14:solidFill>
                </w14:textFill>
              </w:rPr>
              <w:t>2</w:t>
            </w:r>
          </w:p>
        </w:tc>
      </w:tr>
      <w:tr w14:paraId="4A07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30" w:type="dxa"/>
            <w:vMerge w:val="continue"/>
            <w:vAlign w:val="center"/>
          </w:tcPr>
          <w:p w14:paraId="48596F4D">
            <w:pPr>
              <w:widowControl/>
              <w:spacing w:line="360" w:lineRule="exact"/>
              <w:rPr>
                <w:color w:val="auto"/>
                <w:szCs w:val="28"/>
              </w:rPr>
            </w:pPr>
          </w:p>
        </w:tc>
        <w:tc>
          <w:tcPr>
            <w:tcW w:w="6115" w:type="dxa"/>
            <w:gridSpan w:val="6"/>
            <w:vAlign w:val="center"/>
          </w:tcPr>
          <w:p w14:paraId="2AEE2938">
            <w:pPr>
              <w:spacing w:line="360" w:lineRule="exact"/>
              <w:rPr>
                <w:color w:val="auto"/>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其他形状截面：</w:t>
            </w:r>
            <w:r>
              <w:rPr>
                <w:color w:val="000000" w:themeColor="text1"/>
                <w:szCs w:val="20"/>
                <w14:textFill>
                  <w14:solidFill>
                    <w14:schemeClr w14:val="tx1"/>
                  </w14:solidFill>
                </w14:textFill>
              </w:rPr>
              <w:t>S=    m</w:t>
            </w:r>
            <w:r>
              <w:rPr>
                <w:color w:val="000000" w:themeColor="text1"/>
                <w:szCs w:val="20"/>
                <w:vertAlign w:val="superscript"/>
                <w14:textFill>
                  <w14:solidFill>
                    <w14:schemeClr w14:val="tx1"/>
                  </w14:solidFill>
                </w14:textFill>
              </w:rPr>
              <w:t>2</w:t>
            </w:r>
          </w:p>
        </w:tc>
      </w:tr>
      <w:tr w14:paraId="35FD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006198D3">
            <w:pPr>
              <w:widowControl/>
              <w:spacing w:line="360" w:lineRule="exact"/>
              <w:rPr>
                <w:color w:val="auto"/>
                <w:szCs w:val="20"/>
              </w:rPr>
            </w:pPr>
            <w:r>
              <w:rPr>
                <w:rFonts w:hint="eastAsia"/>
                <w:color w:val="auto"/>
                <w:szCs w:val="21"/>
              </w:rPr>
              <w:t>入河排污口污水排放量，入河排污口重点污染物排放种类、排放浓度和排放量</w:t>
            </w:r>
          </w:p>
        </w:tc>
      </w:tr>
      <w:tr w14:paraId="0812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830" w:type="dxa"/>
            <w:vMerge w:val="restart"/>
            <w:vAlign w:val="center"/>
          </w:tcPr>
          <w:p w14:paraId="0A4567DA">
            <w:pPr>
              <w:widowControl/>
              <w:spacing w:line="360" w:lineRule="exact"/>
              <w:jc w:val="center"/>
              <w:rPr>
                <w:color w:val="auto"/>
                <w:szCs w:val="20"/>
              </w:rPr>
            </w:pPr>
            <w:r>
              <w:rPr>
                <w:rFonts w:hint="eastAsia"/>
                <w:color w:val="auto"/>
                <w:szCs w:val="20"/>
              </w:rPr>
              <w:t>污染物种类</w:t>
            </w:r>
          </w:p>
        </w:tc>
        <w:tc>
          <w:tcPr>
            <w:tcW w:w="1259" w:type="dxa"/>
            <w:vMerge w:val="restart"/>
            <w:vAlign w:val="center"/>
          </w:tcPr>
          <w:p w14:paraId="59FF2139">
            <w:pPr>
              <w:widowControl/>
              <w:spacing w:line="360" w:lineRule="exact"/>
              <w:jc w:val="center"/>
              <w:rPr>
                <w:color w:val="auto"/>
                <w:szCs w:val="20"/>
              </w:rPr>
            </w:pPr>
            <w:r>
              <w:rPr>
                <w:rFonts w:hint="eastAsia"/>
                <w:color w:val="auto"/>
                <w:szCs w:val="20"/>
              </w:rPr>
              <w:t>排放浓度（</w:t>
            </w:r>
            <w:r>
              <w:rPr>
                <w:color w:val="auto"/>
                <w:szCs w:val="20"/>
              </w:rPr>
              <w:t>mg/L</w:t>
            </w:r>
            <w:r>
              <w:rPr>
                <w:rFonts w:hint="eastAsia"/>
                <w:color w:val="auto"/>
                <w:szCs w:val="20"/>
              </w:rPr>
              <w:t>）</w:t>
            </w:r>
          </w:p>
        </w:tc>
        <w:tc>
          <w:tcPr>
            <w:tcW w:w="2472" w:type="dxa"/>
            <w:gridSpan w:val="3"/>
            <w:vAlign w:val="center"/>
          </w:tcPr>
          <w:p w14:paraId="5079A384">
            <w:pPr>
              <w:widowControl/>
              <w:spacing w:line="360" w:lineRule="exact"/>
              <w:jc w:val="center"/>
              <w:rPr>
                <w:color w:val="auto"/>
                <w:szCs w:val="20"/>
              </w:rPr>
            </w:pPr>
            <w:r>
              <w:rPr>
                <w:rFonts w:hint="eastAsia"/>
                <w:color w:val="auto"/>
                <w:szCs w:val="20"/>
              </w:rPr>
              <w:t>全年</w:t>
            </w:r>
          </w:p>
        </w:tc>
        <w:tc>
          <w:tcPr>
            <w:tcW w:w="2384" w:type="dxa"/>
            <w:gridSpan w:val="2"/>
            <w:vAlign w:val="center"/>
          </w:tcPr>
          <w:p w14:paraId="595C28E7">
            <w:pPr>
              <w:widowControl/>
              <w:spacing w:line="360" w:lineRule="exact"/>
              <w:jc w:val="center"/>
              <w:rPr>
                <w:color w:val="auto"/>
                <w:szCs w:val="20"/>
              </w:rPr>
            </w:pPr>
            <w:r>
              <w:rPr>
                <w:rFonts w:hint="eastAsia"/>
                <w:color w:val="auto"/>
                <w:szCs w:val="20"/>
              </w:rPr>
              <w:t>特殊时段（12月至4月）</w:t>
            </w:r>
          </w:p>
        </w:tc>
      </w:tr>
      <w:tr w14:paraId="0263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0" w:type="dxa"/>
            <w:vMerge w:val="continue"/>
            <w:vAlign w:val="center"/>
          </w:tcPr>
          <w:p w14:paraId="09994969">
            <w:pPr>
              <w:spacing w:line="360" w:lineRule="exact"/>
              <w:rPr>
                <w:color w:val="auto"/>
                <w:szCs w:val="20"/>
              </w:rPr>
            </w:pPr>
          </w:p>
        </w:tc>
        <w:tc>
          <w:tcPr>
            <w:tcW w:w="1259" w:type="dxa"/>
            <w:vMerge w:val="continue"/>
            <w:vAlign w:val="center"/>
          </w:tcPr>
          <w:p w14:paraId="30C1F5B3">
            <w:pPr>
              <w:widowControl/>
              <w:spacing w:line="360" w:lineRule="exact"/>
              <w:jc w:val="center"/>
              <w:rPr>
                <w:color w:val="auto"/>
                <w:szCs w:val="20"/>
              </w:rPr>
            </w:pPr>
          </w:p>
        </w:tc>
        <w:tc>
          <w:tcPr>
            <w:tcW w:w="1151" w:type="dxa"/>
            <w:gridSpan w:val="2"/>
            <w:vAlign w:val="center"/>
          </w:tcPr>
          <w:p w14:paraId="027DFCAE">
            <w:pPr>
              <w:widowControl/>
              <w:spacing w:line="360" w:lineRule="exact"/>
              <w:jc w:val="center"/>
              <w:rPr>
                <w:color w:val="auto"/>
                <w:szCs w:val="20"/>
              </w:rPr>
            </w:pPr>
            <w:r>
              <w:rPr>
                <w:rFonts w:hint="eastAsia"/>
                <w:color w:val="auto"/>
                <w:szCs w:val="20"/>
              </w:rPr>
              <w:t>污水排放量（万</w:t>
            </w:r>
            <w:r>
              <w:rPr>
                <w:color w:val="auto"/>
                <w:szCs w:val="20"/>
              </w:rPr>
              <w:t>t/</w:t>
            </w:r>
            <w:r>
              <w:rPr>
                <w:rFonts w:hint="eastAsia"/>
                <w:color w:val="auto"/>
                <w:szCs w:val="20"/>
              </w:rPr>
              <w:t>a）</w:t>
            </w:r>
          </w:p>
        </w:tc>
        <w:tc>
          <w:tcPr>
            <w:tcW w:w="1321" w:type="dxa"/>
            <w:vAlign w:val="center"/>
          </w:tcPr>
          <w:p w14:paraId="5F2BFDAC">
            <w:pPr>
              <w:widowControl/>
              <w:spacing w:line="360" w:lineRule="exact"/>
              <w:jc w:val="center"/>
              <w:rPr>
                <w:color w:val="auto"/>
                <w:szCs w:val="20"/>
              </w:rPr>
            </w:pPr>
            <w:r>
              <w:rPr>
                <w:rFonts w:hint="eastAsia"/>
                <w:color w:val="auto"/>
                <w:szCs w:val="24"/>
              </w:rPr>
              <w:t>污染物排放量</w:t>
            </w:r>
            <w:r>
              <w:rPr>
                <w:rFonts w:hint="eastAsia"/>
                <w:color w:val="auto"/>
                <w:szCs w:val="20"/>
              </w:rPr>
              <w:t>（</w:t>
            </w:r>
            <w:r>
              <w:rPr>
                <w:color w:val="auto"/>
                <w:szCs w:val="20"/>
              </w:rPr>
              <w:t>t/</w:t>
            </w:r>
            <w:r>
              <w:rPr>
                <w:rFonts w:hint="eastAsia"/>
                <w:color w:val="auto"/>
                <w:szCs w:val="20"/>
              </w:rPr>
              <w:t>a）</w:t>
            </w:r>
          </w:p>
        </w:tc>
        <w:tc>
          <w:tcPr>
            <w:tcW w:w="1231" w:type="dxa"/>
            <w:vAlign w:val="center"/>
          </w:tcPr>
          <w:p w14:paraId="0D0955C2">
            <w:pPr>
              <w:widowControl/>
              <w:spacing w:line="360" w:lineRule="exact"/>
              <w:jc w:val="center"/>
              <w:rPr>
                <w:color w:val="auto"/>
                <w:szCs w:val="20"/>
              </w:rPr>
            </w:pPr>
            <w:r>
              <w:rPr>
                <w:rFonts w:hint="eastAsia"/>
                <w:color w:val="auto"/>
                <w:szCs w:val="20"/>
              </w:rPr>
              <w:t>污水日排放量（</w:t>
            </w:r>
            <w:r>
              <w:rPr>
                <w:color w:val="auto"/>
                <w:szCs w:val="20"/>
              </w:rPr>
              <w:t>t/</w:t>
            </w:r>
            <w:r>
              <w:rPr>
                <w:rFonts w:hint="eastAsia"/>
                <w:color w:val="auto"/>
                <w:szCs w:val="20"/>
              </w:rPr>
              <w:t>d）</w:t>
            </w:r>
          </w:p>
        </w:tc>
        <w:tc>
          <w:tcPr>
            <w:tcW w:w="1153" w:type="dxa"/>
            <w:vAlign w:val="center"/>
          </w:tcPr>
          <w:p w14:paraId="7A8509A7">
            <w:pPr>
              <w:spacing w:line="360" w:lineRule="exact"/>
              <w:jc w:val="center"/>
              <w:rPr>
                <w:color w:val="auto"/>
                <w:szCs w:val="20"/>
              </w:rPr>
            </w:pPr>
            <w:r>
              <w:rPr>
                <w:rFonts w:hint="eastAsia"/>
                <w:color w:val="auto"/>
                <w:szCs w:val="24"/>
              </w:rPr>
              <w:t>污染物日排放量</w:t>
            </w:r>
            <w:r>
              <w:rPr>
                <w:rFonts w:hint="eastAsia"/>
                <w:color w:val="auto"/>
                <w:szCs w:val="20"/>
              </w:rPr>
              <w:t>（</w:t>
            </w:r>
            <w:r>
              <w:rPr>
                <w:color w:val="auto"/>
                <w:szCs w:val="20"/>
              </w:rPr>
              <w:t>t/</w:t>
            </w:r>
            <w:r>
              <w:rPr>
                <w:rFonts w:hint="eastAsia"/>
                <w:color w:val="auto"/>
                <w:szCs w:val="20"/>
              </w:rPr>
              <w:t>d）</w:t>
            </w:r>
          </w:p>
        </w:tc>
      </w:tr>
      <w:tr w14:paraId="04A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7EE47180">
            <w:pPr>
              <w:widowControl/>
              <w:spacing w:line="360" w:lineRule="exact"/>
              <w:rPr>
                <w:color w:val="auto"/>
                <w:szCs w:val="20"/>
              </w:rPr>
            </w:pPr>
            <w:r>
              <w:rPr>
                <w:rFonts w:hint="eastAsia"/>
                <w:color w:val="auto"/>
                <w:szCs w:val="20"/>
              </w:rPr>
              <w:t>入河排污口合计</w:t>
            </w:r>
          </w:p>
        </w:tc>
      </w:tr>
      <w:tr w14:paraId="3C87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10EFADD3">
            <w:pPr>
              <w:widowControl/>
              <w:spacing w:line="360" w:lineRule="exact"/>
              <w:jc w:val="center"/>
              <w:rPr>
                <w:rFonts w:hint="default"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化学需氧量</w:t>
            </w:r>
          </w:p>
        </w:tc>
        <w:tc>
          <w:tcPr>
            <w:tcW w:w="1259" w:type="dxa"/>
            <w:shd w:val="clear" w:color="auto" w:fill="auto"/>
            <w:vAlign w:val="center"/>
          </w:tcPr>
          <w:p w14:paraId="0A5E802B">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50</w:t>
            </w:r>
          </w:p>
        </w:tc>
        <w:tc>
          <w:tcPr>
            <w:tcW w:w="1151" w:type="dxa"/>
            <w:gridSpan w:val="2"/>
            <w:vMerge w:val="restart"/>
            <w:shd w:val="clear" w:color="auto" w:fill="auto"/>
            <w:vAlign w:val="center"/>
          </w:tcPr>
          <w:p w14:paraId="5DE125FA">
            <w:pPr>
              <w:widowControl/>
              <w:spacing w:line="360" w:lineRule="exact"/>
              <w:jc w:val="center"/>
              <w:rPr>
                <w:rFonts w:hint="default" w:eastAsia="宋体"/>
                <w:color w:val="auto"/>
                <w:szCs w:val="20"/>
                <w:highlight w:val="none"/>
                <w:lang w:val="en-US" w:eastAsia="zh-CN"/>
              </w:rPr>
            </w:pPr>
            <w:r>
              <w:rPr>
                <w:rFonts w:hint="eastAsia"/>
                <w:color w:val="000000" w:themeColor="text1"/>
                <w:szCs w:val="24"/>
                <w:lang w:val="en-US" w:eastAsia="zh-CN"/>
                <w14:textFill>
                  <w14:solidFill>
                    <w14:schemeClr w14:val="tx1"/>
                  </w14:solidFill>
                </w14:textFill>
              </w:rPr>
              <w:t>1095</w:t>
            </w:r>
          </w:p>
        </w:tc>
        <w:tc>
          <w:tcPr>
            <w:tcW w:w="1321" w:type="dxa"/>
            <w:shd w:val="clear" w:color="auto" w:fill="auto"/>
            <w:vAlign w:val="center"/>
          </w:tcPr>
          <w:p w14:paraId="33BE7B36">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eastAsiaTheme="minorEastAsia"/>
                <w:color w:val="000000" w:themeColor="text1"/>
                <w:szCs w:val="20"/>
                <w:lang w:val="en-US" w:eastAsia="zh-CN"/>
                <w14:textFill>
                  <w14:solidFill>
                    <w14:schemeClr w14:val="tx1"/>
                  </w14:solidFill>
                </w14:textFill>
              </w:rPr>
              <w:t>547.5</w:t>
            </w:r>
          </w:p>
        </w:tc>
        <w:tc>
          <w:tcPr>
            <w:tcW w:w="1231" w:type="dxa"/>
            <w:vMerge w:val="restart"/>
            <w:shd w:val="clear" w:color="auto" w:fill="auto"/>
            <w:vAlign w:val="center"/>
          </w:tcPr>
          <w:p w14:paraId="7922E122">
            <w:pPr>
              <w:widowControl/>
              <w:spacing w:line="360" w:lineRule="exact"/>
              <w:jc w:val="center"/>
              <w:rPr>
                <w:rFonts w:hint="default" w:eastAsia="宋体"/>
                <w:color w:val="auto"/>
                <w:szCs w:val="20"/>
                <w:highlight w:val="none"/>
                <w:lang w:val="en-US" w:eastAsia="zh-CN"/>
              </w:rPr>
            </w:pPr>
            <w:r>
              <w:rPr>
                <w:rFonts w:hint="eastAsia" w:eastAsiaTheme="minorEastAsia"/>
                <w:color w:val="000000" w:themeColor="text1"/>
                <w:szCs w:val="20"/>
                <w:lang w:val="en-US" w:eastAsia="zh-CN"/>
                <w14:textFill>
                  <w14:solidFill>
                    <w14:schemeClr w14:val="tx1"/>
                  </w14:solidFill>
                </w14:textFill>
              </w:rPr>
              <w:t>30000</w:t>
            </w:r>
          </w:p>
        </w:tc>
        <w:tc>
          <w:tcPr>
            <w:tcW w:w="1153" w:type="dxa"/>
            <w:shd w:val="clear" w:color="auto" w:fill="auto"/>
            <w:vAlign w:val="center"/>
          </w:tcPr>
          <w:p w14:paraId="039447A5">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eastAsiaTheme="minorEastAsia"/>
                <w:color w:val="000000" w:themeColor="text1"/>
                <w:szCs w:val="20"/>
                <w:lang w:val="en-US" w:eastAsia="zh-CN"/>
                <w14:textFill>
                  <w14:solidFill>
                    <w14:schemeClr w14:val="tx1"/>
                  </w14:solidFill>
                </w14:textFill>
              </w:rPr>
              <w:t>1.5</w:t>
            </w:r>
          </w:p>
        </w:tc>
      </w:tr>
      <w:tr w14:paraId="6B3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6D9D0B1B">
            <w:pPr>
              <w:widowControl/>
              <w:spacing w:line="360" w:lineRule="exact"/>
              <w:jc w:val="center"/>
              <w:rPr>
                <w:rFonts w:hint="eastAsia"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氨氮</w:t>
            </w:r>
          </w:p>
        </w:tc>
        <w:tc>
          <w:tcPr>
            <w:tcW w:w="1259" w:type="dxa"/>
            <w:shd w:val="clear" w:color="auto" w:fill="auto"/>
            <w:vAlign w:val="center"/>
          </w:tcPr>
          <w:p w14:paraId="561D07E3">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auto"/>
                <w:szCs w:val="20"/>
                <w:lang w:val="en-US" w:eastAsia="zh-CN"/>
              </w:rPr>
              <w:t>5（8）</w:t>
            </w:r>
          </w:p>
        </w:tc>
        <w:tc>
          <w:tcPr>
            <w:tcW w:w="1151" w:type="dxa"/>
            <w:gridSpan w:val="2"/>
            <w:vMerge w:val="continue"/>
            <w:vAlign w:val="center"/>
          </w:tcPr>
          <w:p w14:paraId="2EB42292">
            <w:pPr>
              <w:widowControl/>
              <w:jc w:val="center"/>
              <w:rPr>
                <w:rFonts w:hint="default" w:eastAsia="宋体"/>
                <w:color w:val="auto"/>
                <w:szCs w:val="20"/>
                <w:highlight w:val="none"/>
                <w:lang w:val="en-US" w:eastAsia="zh-CN"/>
              </w:rPr>
            </w:pPr>
          </w:p>
        </w:tc>
        <w:tc>
          <w:tcPr>
            <w:tcW w:w="1321" w:type="dxa"/>
            <w:shd w:val="clear" w:color="auto" w:fill="auto"/>
            <w:vAlign w:val="center"/>
          </w:tcPr>
          <w:p w14:paraId="2988FC47">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eastAsiaTheme="minorEastAsia"/>
                <w:color w:val="000000" w:themeColor="text1"/>
                <w:szCs w:val="20"/>
                <w:lang w:val="en-US" w:eastAsia="zh-CN"/>
                <w14:textFill>
                  <w14:solidFill>
                    <w14:schemeClr w14:val="tx1"/>
                  </w14:solidFill>
                </w14:textFill>
              </w:rPr>
              <w:t>54.75</w:t>
            </w:r>
          </w:p>
        </w:tc>
        <w:tc>
          <w:tcPr>
            <w:tcW w:w="1231" w:type="dxa"/>
            <w:vMerge w:val="continue"/>
            <w:vAlign w:val="center"/>
          </w:tcPr>
          <w:p w14:paraId="000AC0D5">
            <w:pPr>
              <w:widowControl/>
              <w:spacing w:line="360" w:lineRule="exact"/>
              <w:ind w:firstLine="105" w:firstLineChars="50"/>
              <w:jc w:val="center"/>
              <w:rPr>
                <w:rFonts w:hint="eastAsia"/>
                <w:color w:val="auto"/>
                <w:szCs w:val="20"/>
                <w:highlight w:val="none"/>
                <w:lang w:val="en-US" w:eastAsia="zh-CN"/>
              </w:rPr>
            </w:pPr>
          </w:p>
        </w:tc>
        <w:tc>
          <w:tcPr>
            <w:tcW w:w="1153" w:type="dxa"/>
            <w:shd w:val="clear" w:color="auto" w:fill="auto"/>
            <w:vAlign w:val="center"/>
          </w:tcPr>
          <w:p w14:paraId="5B7DFCAA">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eastAsiaTheme="minorEastAsia"/>
                <w:color w:val="000000" w:themeColor="text1"/>
                <w:szCs w:val="20"/>
                <w:lang w:val="en-US" w:eastAsia="zh-CN"/>
                <w14:textFill>
                  <w14:solidFill>
                    <w14:schemeClr w14:val="tx1"/>
                  </w14:solidFill>
                </w14:textFill>
              </w:rPr>
              <w:t>0.15</w:t>
            </w:r>
          </w:p>
        </w:tc>
      </w:tr>
      <w:tr w14:paraId="3F8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shd w:val="clear" w:color="auto" w:fill="auto"/>
            <w:vAlign w:val="center"/>
          </w:tcPr>
          <w:p w14:paraId="5AE38855">
            <w:pPr>
              <w:widowControl/>
              <w:spacing w:line="360" w:lineRule="exact"/>
              <w:rPr>
                <w:rFonts w:hint="default" w:eastAsia="宋体"/>
                <w:color w:val="auto"/>
                <w:szCs w:val="20"/>
                <w:highlight w:val="yellow"/>
                <w:lang w:val="en-US" w:eastAsia="zh-CN"/>
              </w:rPr>
            </w:pPr>
            <w:r>
              <w:rPr>
                <w:rFonts w:hint="eastAsia"/>
                <w:color w:val="auto"/>
                <w:kern w:val="0"/>
                <w:szCs w:val="21"/>
                <w:highlight w:val="none"/>
              </w:rPr>
              <w:t>责任主体</w:t>
            </w:r>
            <w:r>
              <w:rPr>
                <w:rFonts w:hint="eastAsia"/>
                <w:color w:val="auto"/>
                <w:kern w:val="0"/>
                <w:szCs w:val="21"/>
                <w:highlight w:val="none"/>
                <w:lang w:val="en-US" w:eastAsia="zh-CN"/>
              </w:rPr>
              <w:t>1</w:t>
            </w:r>
            <w:r>
              <w:rPr>
                <w:rFonts w:hint="eastAsia"/>
                <w:color w:val="auto"/>
                <w:kern w:val="0"/>
                <w:szCs w:val="21"/>
                <w:highlight w:val="none"/>
              </w:rPr>
              <w:t>：</w:t>
            </w:r>
            <w:r>
              <w:rPr>
                <w:rFonts w:hint="eastAsia"/>
                <w:color w:val="auto"/>
                <w:kern w:val="0"/>
                <w:szCs w:val="21"/>
              </w:rPr>
              <w:t>调兵山信环水务有限公司</w:t>
            </w:r>
          </w:p>
        </w:tc>
      </w:tr>
      <w:tr w14:paraId="25A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2155A464">
            <w:pPr>
              <w:widowControl/>
              <w:spacing w:line="360" w:lineRule="exact"/>
              <w:jc w:val="center"/>
              <w:rPr>
                <w:rFonts w:hint="default"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s="Times New Roman"/>
                <w:color w:val="000000" w:themeColor="text1"/>
                <w:kern w:val="2"/>
                <w:sz w:val="21"/>
                <w:szCs w:val="20"/>
                <w:lang w:val="en-US" w:eastAsia="zh-CN" w:bidi="ar-SA"/>
                <w14:textFill>
                  <w14:solidFill>
                    <w14:schemeClr w14:val="tx1"/>
                  </w14:solidFill>
                </w14:textFill>
              </w:rPr>
              <w:t>化学需氧量</w:t>
            </w:r>
          </w:p>
        </w:tc>
        <w:tc>
          <w:tcPr>
            <w:tcW w:w="1259" w:type="dxa"/>
            <w:shd w:val="clear" w:color="auto" w:fill="auto"/>
            <w:vAlign w:val="center"/>
          </w:tcPr>
          <w:p w14:paraId="1396BF3A">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50</w:t>
            </w:r>
          </w:p>
        </w:tc>
        <w:tc>
          <w:tcPr>
            <w:tcW w:w="1151" w:type="dxa"/>
            <w:gridSpan w:val="2"/>
            <w:vMerge w:val="restart"/>
            <w:shd w:val="clear" w:color="auto" w:fill="auto"/>
            <w:vAlign w:val="center"/>
          </w:tcPr>
          <w:p w14:paraId="2E15C171">
            <w:pPr>
              <w:widowControl/>
              <w:spacing w:line="360" w:lineRule="exact"/>
              <w:jc w:val="center"/>
              <w:rPr>
                <w:rFonts w:hint="default" w:eastAsia="宋体"/>
                <w:color w:val="auto"/>
                <w:szCs w:val="20"/>
                <w:highlight w:val="yellow"/>
                <w:lang w:val="en-US" w:eastAsia="zh-CN"/>
              </w:rPr>
            </w:pPr>
            <w:r>
              <w:rPr>
                <w:rFonts w:hint="eastAsia"/>
                <w:color w:val="000000" w:themeColor="text1"/>
                <w:szCs w:val="24"/>
                <w:lang w:val="en-US" w:eastAsia="zh-CN"/>
                <w14:textFill>
                  <w14:solidFill>
                    <w14:schemeClr w14:val="tx1"/>
                  </w14:solidFill>
                </w14:textFill>
              </w:rPr>
              <w:t>1095</w:t>
            </w:r>
          </w:p>
        </w:tc>
        <w:tc>
          <w:tcPr>
            <w:tcW w:w="1321" w:type="dxa"/>
            <w:shd w:val="clear" w:color="auto" w:fill="auto"/>
            <w:vAlign w:val="center"/>
          </w:tcPr>
          <w:p w14:paraId="1DB39C4C">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eastAsiaTheme="minorEastAsia"/>
                <w:color w:val="000000" w:themeColor="text1"/>
                <w:szCs w:val="20"/>
                <w:lang w:val="en-US" w:eastAsia="zh-CN"/>
                <w14:textFill>
                  <w14:solidFill>
                    <w14:schemeClr w14:val="tx1"/>
                  </w14:solidFill>
                </w14:textFill>
              </w:rPr>
              <w:t>547.5</w:t>
            </w:r>
          </w:p>
        </w:tc>
        <w:tc>
          <w:tcPr>
            <w:tcW w:w="1231" w:type="dxa"/>
            <w:vMerge w:val="restart"/>
            <w:shd w:val="clear" w:color="auto" w:fill="auto"/>
            <w:vAlign w:val="center"/>
          </w:tcPr>
          <w:p w14:paraId="51A521C6">
            <w:pPr>
              <w:widowControl/>
              <w:spacing w:line="360" w:lineRule="exact"/>
              <w:jc w:val="center"/>
              <w:rPr>
                <w:rFonts w:hint="default" w:eastAsia="宋体"/>
                <w:color w:val="auto"/>
                <w:szCs w:val="20"/>
                <w:highlight w:val="yellow"/>
                <w:lang w:val="en-US" w:eastAsia="zh-CN"/>
              </w:rPr>
            </w:pPr>
            <w:r>
              <w:rPr>
                <w:rFonts w:hint="eastAsia" w:eastAsiaTheme="minorEastAsia"/>
                <w:color w:val="000000" w:themeColor="text1"/>
                <w:szCs w:val="20"/>
                <w:lang w:val="en-US" w:eastAsia="zh-CN"/>
                <w14:textFill>
                  <w14:solidFill>
                    <w14:schemeClr w14:val="tx1"/>
                  </w14:solidFill>
                </w14:textFill>
              </w:rPr>
              <w:t>30000</w:t>
            </w:r>
          </w:p>
        </w:tc>
        <w:tc>
          <w:tcPr>
            <w:tcW w:w="1153" w:type="dxa"/>
            <w:shd w:val="clear" w:color="auto" w:fill="auto"/>
            <w:vAlign w:val="center"/>
          </w:tcPr>
          <w:p w14:paraId="7D56E36C">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eastAsiaTheme="minorEastAsia"/>
                <w:color w:val="000000" w:themeColor="text1"/>
                <w:szCs w:val="20"/>
                <w:lang w:val="en-US" w:eastAsia="zh-CN"/>
                <w14:textFill>
                  <w14:solidFill>
                    <w14:schemeClr w14:val="tx1"/>
                  </w14:solidFill>
                </w14:textFill>
              </w:rPr>
              <w:t>1.5</w:t>
            </w:r>
          </w:p>
        </w:tc>
      </w:tr>
      <w:tr w14:paraId="13D3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51CA7F9C">
            <w:pPr>
              <w:widowControl/>
              <w:spacing w:line="360" w:lineRule="exact"/>
              <w:jc w:val="center"/>
              <w:rPr>
                <w:rFonts w:hint="default"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s="Times New Roman"/>
                <w:color w:val="000000" w:themeColor="text1"/>
                <w:kern w:val="2"/>
                <w:sz w:val="21"/>
                <w:szCs w:val="20"/>
                <w:lang w:val="en-US" w:eastAsia="zh-CN" w:bidi="ar-SA"/>
                <w14:textFill>
                  <w14:solidFill>
                    <w14:schemeClr w14:val="tx1"/>
                  </w14:solidFill>
                </w14:textFill>
              </w:rPr>
              <w:t>氨氮</w:t>
            </w:r>
          </w:p>
        </w:tc>
        <w:tc>
          <w:tcPr>
            <w:tcW w:w="1259" w:type="dxa"/>
            <w:shd w:val="clear" w:color="auto" w:fill="auto"/>
            <w:vAlign w:val="center"/>
          </w:tcPr>
          <w:p w14:paraId="6087FF6C">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auto"/>
                <w:szCs w:val="20"/>
                <w:lang w:val="en-US" w:eastAsia="zh-CN"/>
              </w:rPr>
              <w:t>5（8）</w:t>
            </w:r>
          </w:p>
        </w:tc>
        <w:tc>
          <w:tcPr>
            <w:tcW w:w="1151" w:type="dxa"/>
            <w:gridSpan w:val="2"/>
            <w:vMerge w:val="continue"/>
            <w:vAlign w:val="center"/>
          </w:tcPr>
          <w:p w14:paraId="501500DA">
            <w:pPr>
              <w:widowControl/>
              <w:jc w:val="center"/>
              <w:rPr>
                <w:rFonts w:hint="eastAsia"/>
                <w:color w:val="auto"/>
                <w:szCs w:val="24"/>
                <w:highlight w:val="yellow"/>
                <w:lang w:val="en-US" w:eastAsia="zh-CN"/>
              </w:rPr>
            </w:pPr>
          </w:p>
        </w:tc>
        <w:tc>
          <w:tcPr>
            <w:tcW w:w="1321" w:type="dxa"/>
            <w:shd w:val="clear" w:color="auto" w:fill="auto"/>
            <w:vAlign w:val="center"/>
          </w:tcPr>
          <w:p w14:paraId="0D2C10E6">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eastAsiaTheme="minorEastAsia"/>
                <w:color w:val="000000" w:themeColor="text1"/>
                <w:szCs w:val="20"/>
                <w:lang w:val="en-US" w:eastAsia="zh-CN"/>
                <w14:textFill>
                  <w14:solidFill>
                    <w14:schemeClr w14:val="tx1"/>
                  </w14:solidFill>
                </w14:textFill>
              </w:rPr>
              <w:t>54.75</w:t>
            </w:r>
          </w:p>
        </w:tc>
        <w:tc>
          <w:tcPr>
            <w:tcW w:w="1231" w:type="dxa"/>
            <w:vMerge w:val="continue"/>
            <w:vAlign w:val="center"/>
          </w:tcPr>
          <w:p w14:paraId="0E3CFD16">
            <w:pPr>
              <w:widowControl/>
              <w:spacing w:line="360" w:lineRule="exact"/>
              <w:ind w:firstLine="105" w:firstLineChars="50"/>
              <w:jc w:val="center"/>
              <w:rPr>
                <w:rFonts w:hint="eastAsia"/>
                <w:color w:val="auto"/>
                <w:szCs w:val="20"/>
                <w:highlight w:val="yellow"/>
                <w:lang w:val="en-US" w:eastAsia="zh-CN"/>
              </w:rPr>
            </w:pPr>
          </w:p>
        </w:tc>
        <w:tc>
          <w:tcPr>
            <w:tcW w:w="1153" w:type="dxa"/>
            <w:shd w:val="clear" w:color="auto" w:fill="auto"/>
            <w:vAlign w:val="center"/>
          </w:tcPr>
          <w:p w14:paraId="7B4D7376">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eastAsiaTheme="minorEastAsia"/>
                <w:color w:val="000000" w:themeColor="text1"/>
                <w:szCs w:val="20"/>
                <w:lang w:val="en-US" w:eastAsia="zh-CN"/>
                <w14:textFill>
                  <w14:solidFill>
                    <w14:schemeClr w14:val="tx1"/>
                  </w14:solidFill>
                </w14:textFill>
              </w:rPr>
              <w:t>0.15</w:t>
            </w:r>
          </w:p>
        </w:tc>
      </w:tr>
      <w:tr w14:paraId="6774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0123E1C6">
            <w:pPr>
              <w:widowControl/>
              <w:snapToGrid w:val="0"/>
              <w:spacing w:line="360" w:lineRule="exact"/>
              <w:rPr>
                <w:color w:val="auto"/>
                <w:szCs w:val="20"/>
              </w:rPr>
            </w:pPr>
            <w:r>
              <w:rPr>
                <w:rFonts w:hint="eastAsia"/>
                <w:color w:val="auto"/>
                <w:szCs w:val="20"/>
              </w:rPr>
              <w:t>信息公开要求：</w:t>
            </w:r>
          </w:p>
          <w:p w14:paraId="2532D82E">
            <w:pPr>
              <w:pStyle w:val="10"/>
              <w:widowControl/>
              <w:snapToGrid w:val="0"/>
              <w:spacing w:line="360" w:lineRule="exact"/>
              <w:ind w:left="0" w:firstLine="420" w:firstLineChars="200"/>
              <w:jc w:val="both"/>
              <w:rPr>
                <w:color w:val="auto"/>
                <w:lang w:eastAsia="zh-CN"/>
              </w:rPr>
            </w:pPr>
            <w:r>
              <w:rPr>
                <w:rFonts w:hint="eastAsia" w:ascii="Times New Roman" w:hAnsi="Times New Roman" w:eastAsia="宋体"/>
                <w:color w:val="auto"/>
                <w:kern w:val="2"/>
                <w:sz w:val="21"/>
                <w:szCs w:val="22"/>
                <w:lang w:eastAsia="zh-CN"/>
              </w:rPr>
              <w:t>根据《入河排污口监督管理办法》以及HJ</w:t>
            </w:r>
            <w:r>
              <w:rPr>
                <w:rFonts w:ascii="Times New Roman" w:hAnsi="Times New Roman" w:eastAsia="宋体"/>
                <w:color w:val="auto"/>
                <w:kern w:val="2"/>
                <w:sz w:val="21"/>
                <w:szCs w:val="22"/>
                <w:lang w:eastAsia="zh-CN"/>
              </w:rPr>
              <w:t>1386</w:t>
            </w:r>
            <w:r>
              <w:rPr>
                <w:rFonts w:hint="eastAsia" w:ascii="Times New Roman" w:hAnsi="Times New Roman" w:eastAsia="宋体"/>
                <w:color w:val="auto"/>
                <w:kern w:val="2"/>
                <w:sz w:val="21"/>
                <w:szCs w:val="22"/>
                <w:lang w:eastAsia="zh-CN"/>
              </w:rPr>
              <w:t>标准要求，该入河排污口的</w:t>
            </w:r>
            <w:r>
              <w:rPr>
                <w:rFonts w:hint="eastAsia" w:ascii="Times New Roman" w:hAnsi="Times New Roman" w:eastAsia="宋体"/>
                <w:color w:val="auto"/>
                <w:kern w:val="2"/>
                <w:sz w:val="21"/>
                <w:szCs w:val="22"/>
                <w:u w:val="single"/>
                <w:lang w:val="en-US" w:eastAsia="zh-CN"/>
              </w:rPr>
              <w:t xml:space="preserve">  </w:t>
            </w:r>
            <w:r>
              <w:rPr>
                <w:rFonts w:hint="eastAsia" w:ascii="Times New Roman" w:hAnsi="Times New Roman" w:eastAsia="宋体"/>
                <w:color w:val="auto"/>
                <w:kern w:val="2"/>
                <w:sz w:val="21"/>
                <w:szCs w:val="22"/>
                <w:u w:val="single"/>
                <w:lang w:eastAsia="zh-CN"/>
              </w:rPr>
              <w:t>地理坐标、污染物种类</w:t>
            </w:r>
            <w:r>
              <w:rPr>
                <w:rFonts w:ascii="Times New Roman" w:hAnsi="Times New Roman" w:eastAsia="宋体"/>
                <w:color w:val="auto"/>
                <w:kern w:val="2"/>
                <w:sz w:val="21"/>
                <w:szCs w:val="22"/>
                <w:lang w:eastAsia="zh-CN"/>
              </w:rPr>
              <w:t>_</w:t>
            </w:r>
            <w:r>
              <w:rPr>
                <w:rFonts w:hint="eastAsia" w:ascii="Times New Roman" w:hAnsi="Times New Roman" w:eastAsia="宋体"/>
                <w:color w:val="auto"/>
                <w:kern w:val="2"/>
                <w:sz w:val="21"/>
                <w:szCs w:val="22"/>
                <w:lang w:eastAsia="zh-CN"/>
              </w:rPr>
              <w:t>等信息应以</w:t>
            </w:r>
            <w:r>
              <w:rPr>
                <w:rFonts w:hint="eastAsia" w:ascii="Times New Roman" w:hAnsi="Times New Roman" w:eastAsia="宋体"/>
                <w:color w:val="auto"/>
                <w:kern w:val="2"/>
                <w:sz w:val="21"/>
                <w:szCs w:val="22"/>
                <w:lang w:eastAsia="zh-CN"/>
              </w:rPr>
              <w:sym w:font="Wingdings" w:char="00FE"/>
            </w:r>
            <w:r>
              <w:rPr>
                <w:rFonts w:hint="eastAsia" w:ascii="Times New Roman" w:hAnsi="Times New Roman" w:eastAsia="宋体"/>
                <w:color w:val="auto"/>
                <w:kern w:val="2"/>
                <w:sz w:val="21"/>
                <w:szCs w:val="22"/>
                <w:lang w:eastAsia="zh-CN"/>
              </w:rPr>
              <w:t>标识牌</w:t>
            </w:r>
            <w:r>
              <w:rPr>
                <w:rFonts w:ascii="Times New Roman" w:hAnsi="Times New Roman" w:eastAsia="宋体"/>
                <w:color w:val="auto"/>
                <w:kern w:val="2"/>
                <w:sz w:val="21"/>
                <w:szCs w:val="22"/>
                <w:lang w:eastAsia="zh-CN"/>
              </w:rPr>
              <w:sym w:font="Wingdings 2" w:char="00A3"/>
            </w:r>
            <w:r>
              <w:rPr>
                <w:rFonts w:hint="eastAsia" w:ascii="Times New Roman" w:hAnsi="Times New Roman" w:eastAsia="宋体"/>
                <w:color w:val="auto"/>
                <w:kern w:val="2"/>
                <w:sz w:val="21"/>
                <w:szCs w:val="22"/>
                <w:lang w:eastAsia="zh-CN"/>
              </w:rPr>
              <w:t>/二维码/</w:t>
            </w:r>
            <w:r>
              <w:rPr>
                <w:rFonts w:ascii="Times New Roman" w:hAnsi="Times New Roman" w:eastAsia="宋体"/>
                <w:color w:val="auto"/>
                <w:kern w:val="2"/>
                <w:sz w:val="21"/>
                <w:szCs w:val="22"/>
                <w:lang w:eastAsia="zh-CN"/>
              </w:rPr>
              <w:sym w:font="Wingdings 2" w:char="00A3"/>
            </w:r>
            <w:r>
              <w:rPr>
                <w:rFonts w:hint="eastAsia" w:ascii="Times New Roman" w:hAnsi="Times New Roman" w:eastAsia="宋体"/>
                <w:color w:val="auto"/>
                <w:kern w:val="2"/>
                <w:sz w:val="21"/>
                <w:szCs w:val="22"/>
                <w:lang w:eastAsia="zh-CN"/>
              </w:rPr>
              <w:t>显示屏</w:t>
            </w:r>
            <w:r>
              <w:rPr>
                <w:rFonts w:ascii="Times New Roman" w:hAnsi="Times New Roman" w:eastAsia="宋体"/>
                <w:color w:val="auto"/>
                <w:kern w:val="2"/>
                <w:sz w:val="21"/>
                <w:szCs w:val="22"/>
                <w:lang w:eastAsia="zh-CN"/>
              </w:rPr>
              <w:sym w:font="Wingdings 2" w:char="00A3"/>
            </w:r>
            <w:r>
              <w:rPr>
                <w:rFonts w:ascii="Times New Roman" w:hAnsi="Times New Roman" w:eastAsia="宋体"/>
                <w:color w:val="auto"/>
                <w:kern w:val="2"/>
                <w:sz w:val="21"/>
                <w:szCs w:val="22"/>
                <w:lang w:eastAsia="zh-CN"/>
              </w:rPr>
              <w:t>_______</w:t>
            </w:r>
            <w:r>
              <w:rPr>
                <w:rFonts w:hint="eastAsia" w:ascii="Times New Roman" w:hAnsi="Times New Roman" w:eastAsia="宋体"/>
                <w:color w:val="auto"/>
                <w:kern w:val="2"/>
                <w:sz w:val="21"/>
                <w:szCs w:val="22"/>
                <w:lang w:eastAsia="zh-CN"/>
              </w:rPr>
              <w:t>等方式在入河排污口处信息公开。</w:t>
            </w:r>
          </w:p>
        </w:tc>
      </w:tr>
      <w:tr w14:paraId="7D26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vAlign w:val="center"/>
          </w:tcPr>
          <w:p w14:paraId="3C1D1A81">
            <w:pPr>
              <w:widowControl/>
              <w:snapToGrid w:val="0"/>
              <w:spacing w:line="360" w:lineRule="exact"/>
              <w:rPr>
                <w:color w:val="auto"/>
                <w:szCs w:val="20"/>
              </w:rPr>
            </w:pPr>
            <w:r>
              <w:rPr>
                <w:rFonts w:hint="eastAsia"/>
                <w:color w:val="auto"/>
                <w:szCs w:val="20"/>
              </w:rPr>
              <w:t>水污染事故应急处理预案以及环境风险防范措施：</w:t>
            </w:r>
          </w:p>
          <w:p w14:paraId="026B66AA">
            <w:pPr>
              <w:snapToGrid w:val="0"/>
              <w:spacing w:line="360" w:lineRule="exact"/>
              <w:ind w:firstLine="420" w:firstLineChars="200"/>
              <w:rPr>
                <w:color w:val="auto"/>
              </w:rPr>
            </w:pPr>
            <w:r>
              <w:rPr>
                <w:rFonts w:hint="eastAsia"/>
                <w:color w:val="auto"/>
              </w:rPr>
              <w:t>该入河排污口对应的责任主体</w:t>
            </w:r>
            <w:r>
              <w:rPr>
                <w:rFonts w:hint="eastAsia"/>
                <w:color w:val="auto"/>
                <w:u w:val="single"/>
              </w:rPr>
              <w:t>调兵山信环水务有限公司</w:t>
            </w:r>
            <w:r>
              <w:rPr>
                <w:rFonts w:hint="eastAsia"/>
                <w:color w:val="auto"/>
              </w:rPr>
              <w:t>应当按照排污单位有关要求，做好污染事故应急处理预案、环境风险防范及应急处置措施，具体包括：</w:t>
            </w:r>
          </w:p>
          <w:p w14:paraId="32CE0A2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3" w:name="_Toc26809_WPSOffice_Level2"/>
            <w:bookmarkStart w:id="4" w:name="_Toc11921"/>
            <w:r>
              <w:rPr>
                <w:rFonts w:hint="default" w:ascii="Times New Roman" w:hAnsi="Times New Roman" w:eastAsia="宋体" w:cs="Times New Roman"/>
                <w:b/>
                <w:bCs/>
                <w:color w:val="auto"/>
                <w:sz w:val="21"/>
                <w:szCs w:val="21"/>
                <w:highlight w:val="none"/>
                <w:lang w:val="en-US" w:eastAsia="zh-CN"/>
              </w:rPr>
              <w:t>1</w:t>
            </w:r>
            <w:bookmarkEnd w:id="3"/>
            <w:bookmarkEnd w:id="4"/>
            <w:bookmarkStart w:id="5" w:name="_Toc18739"/>
            <w:bookmarkStart w:id="6" w:name="_Toc14238_WPSOffice_Level2"/>
            <w:r>
              <w:rPr>
                <w:rFonts w:hint="default" w:ascii="Times New Roman" w:hAnsi="Times New Roman" w:eastAsia="宋体" w:cs="Times New Roman"/>
                <w:b/>
                <w:bCs/>
                <w:color w:val="auto"/>
                <w:sz w:val="21"/>
                <w:szCs w:val="21"/>
                <w:highlight w:val="none"/>
                <w:lang w:val="en-US" w:eastAsia="zh-CN"/>
              </w:rPr>
              <w:t>、风险事故成因分析</w:t>
            </w:r>
          </w:p>
          <w:p w14:paraId="3BD60D6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污水处理工程运行中比较常见事故工况主要包括以下情形：</w:t>
            </w:r>
          </w:p>
          <w:p w14:paraId="5409B53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（1）运行异常</w:t>
            </w:r>
          </w:p>
          <w:p w14:paraId="4DF22DC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设备运行异常，通常是因机械故障、设备损坏，以及进水水质恶化等原因导致。1）机械故障是比较常见的现象。污水处理设备进水杂物处理不彻底，导致机械故障是主因，因此需要及时对拦污格栅进行清理、维护、更新，避免杂物进入后期处理系统，影响系统正常运行。2）设备运行中磨损、老化、损坏是设备故障的主要原因，需要加强设备维护、保养，对老旧设备进行更新，保障设备正常运行。3）污水管网服务范围内污水来源发生变化，导致进水水质异常，是极难控制的。影响因素，因此进水水质监测是很重要的。当出现水质异常时，要及时对服务范围内异常污水来源进行调查，及时进行处置。同时在发现进水水质异常后，对出水进行控制，一般可利用水泵将不达标出水回流到进水泵房，重新进行处理，并关闭出水水阀，防止超标尾水排至纳污水体。因外力破坏造成局部污水泄漏时，可及时用砂石进行围堰，并用应急水泵将污水转移至调兵山是城南污水处理厂处理。因此对外环境影响范围不大。</w:t>
            </w:r>
          </w:p>
          <w:p w14:paraId="2E8B4F1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（2）供电故障</w:t>
            </w:r>
          </w:p>
          <w:p w14:paraId="6DD7A57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供电系统安全是污水处理设备重要保障之一，现行污水处理设备在设计中，对供电方面采取双电路保障，并配备自备电源，因此供电故障处置相对快速，影响时间相对较短，电源均为在线式不间断电源事故后可采取延长污水处理时间的方法对事故期污水进行处理。</w:t>
            </w:r>
          </w:p>
          <w:p w14:paraId="44610BE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（3）污泥处置不当</w:t>
            </w:r>
          </w:p>
          <w:p w14:paraId="28F3E39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当污泥脱水系统遇到故障，长时间不能恢复生产时，要及时对污泥按照相关技术规定进行妥善处理。如不妥善处置，不仅会影响污水处理系统正常运行，而且会造成环境污染。</w:t>
            </w:r>
          </w:p>
          <w:p w14:paraId="104B7EA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（4）自然灾害</w:t>
            </w:r>
          </w:p>
          <w:p w14:paraId="2A89000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台风、暴雨、雷击等自然灾害易造成污水处理系统电力中断、站房坍塌、设备损坏、进水异常等事故，可能导致污水处理系统运行异常或停止运行，造成污染事故。</w:t>
            </w:r>
          </w:p>
          <w:p w14:paraId="7A14494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（5）火灾影响</w:t>
            </w:r>
          </w:p>
          <w:p w14:paraId="5500631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电室、控制室等污水处理设施因长期运行，易出现电路老化而诱发火灾，从而导致污水处理站运行中断，引发环境污染事故。</w:t>
            </w:r>
          </w:p>
          <w:p w14:paraId="62890D5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en-US"/>
              </w:rPr>
              <w:t>事故防范措施及对策</w:t>
            </w:r>
            <w:bookmarkEnd w:id="5"/>
            <w:bookmarkEnd w:id="6"/>
          </w:p>
          <w:p w14:paraId="3F7034C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bookmarkStart w:id="7" w:name="_Toc29880"/>
            <w:bookmarkStart w:id="8" w:name="_Toc18157_WPSOffice_Level2"/>
            <w:r>
              <w:rPr>
                <w:rFonts w:hint="eastAsia" w:cs="Times New Roman"/>
                <w:b w:val="0"/>
                <w:bCs w:val="0"/>
                <w:color w:val="auto"/>
                <w:sz w:val="21"/>
                <w:szCs w:val="21"/>
                <w:highlight w:val="none"/>
                <w:lang w:val="en-US" w:eastAsia="zh-CN"/>
              </w:rPr>
              <w:t>（1）设备故障时应急预防措施</w:t>
            </w:r>
          </w:p>
          <w:p w14:paraId="6D095EE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1）污水处理设备应采用双电路供电，水泵设计应考虑备用，机械设备应采用性能可靠的优质产品。</w:t>
            </w:r>
          </w:p>
          <w:p w14:paraId="17BF484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2）为使在事故状态下污水处理设备仪表等设备正常运转，必须选择质量优良、事故率低、便于维修的产品。关键设备应有备用，易损部件也要有备用，在事故出现时做到及时更换。</w:t>
            </w:r>
          </w:p>
          <w:p w14:paraId="4F20DF5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3）为使在事故状态下污水处理设备能够迅速恢复正常运行，应在主要水工建筑物的容积上留有相应的缓冲能力，并配有相应的设备（如回流泵、回流管道、阀门等）。</w:t>
            </w:r>
          </w:p>
          <w:p w14:paraId="44974CB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4）加强事故隐患监控，定期巡检、调节、保养、维修。及时发现有可能引起事故的异常运行苗头，消除事故隐患。</w:t>
            </w:r>
          </w:p>
          <w:p w14:paraId="222A236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严格控制处理单元的水量、水质、停留时间、负荷强度等工艺参数，确保处理效果的稳定性。配备流量、水质自动分析监控仪器，定期取样监测。操作人员及时调整，使设备处于最佳工况。如发现不正常现象，就需立即采取预防措施。</w:t>
            </w:r>
          </w:p>
          <w:p w14:paraId="4A6746E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6）因外力破坏造成局部污水泄漏时，可及时用砂石进行围堰，并用应急水泵将污水转移至调兵山是城南污水处理厂处理。因此对外环境影响范围不大。</w:t>
            </w:r>
          </w:p>
          <w:p w14:paraId="30A9D88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在污水处理设备尾水排入专用管道前，设置阀门，并定时查看尾水在线监控系统的运行情况，记录相关数值，在发现尾水排放指标超过限值或在线监控系统发生故障自动报警时，关闭管道闸门，防止未经处理或超标尾水排入水域。</w:t>
            </w:r>
          </w:p>
          <w:p w14:paraId="461D277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8）污水处理设备在发生事故、检修等特殊情况下，应立即停产并关闭出水阀门，防止污水进入排污管道和外环境中，避免污水未经处理外排造成严重的污染事件。</w:t>
            </w:r>
          </w:p>
          <w:p w14:paraId="3A47EC1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（2）进水水质异常风险防范措施</w:t>
            </w:r>
          </w:p>
          <w:p w14:paraId="4AC7FC8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1）设置进、出水水质自动监测装置及报警装置，及时发现不良水质的进入。</w:t>
            </w:r>
          </w:p>
          <w:p w14:paraId="3B6823A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2）一旦发现进水水质异常，应及时向有关部门反映查明原因，采取有效处理措施，最大限度降低对周围环境及财产造成的危害。</w:t>
            </w:r>
          </w:p>
          <w:p w14:paraId="10F4214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（3）污泥处置过程环境风险防范</w:t>
            </w:r>
          </w:p>
          <w:p w14:paraId="55F5030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1）污水处理设备污泥干化后，应及时清运，采用专用密闭运输车辆，避免散发臭气，撒落，污染环境。</w:t>
            </w:r>
          </w:p>
          <w:p w14:paraId="0D369E5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2）污水处理设备一旦发生污泥非正常排放的事故，应及时进行设备维修，争取在池内存放污泥的限度内修好，并及时投加药剂，如石灰等，防止发生污泥发酵，减少恶臭气体排放。</w:t>
            </w:r>
          </w:p>
          <w:p w14:paraId="18EE188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（4）管道破损泄露风险防范</w:t>
            </w:r>
          </w:p>
          <w:p w14:paraId="6B5FAD2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1）管道衔接应防止泄漏污染地下水，淤塞应及时疏浚，保证管道通畅。</w:t>
            </w:r>
          </w:p>
          <w:p w14:paraId="6439ED5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2）为减少管节更换时间，对现状道路，需要破路施工地段，以管沟代替覆土回填，避免将来可能的破路抢修。</w:t>
            </w:r>
          </w:p>
          <w:p w14:paraId="3388BC0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3）设立明显的管道标志，防止意外破坏，绿化地段，管道上方不宜栽植高大乔木或深根性的植物。</w:t>
            </w:r>
          </w:p>
          <w:p w14:paraId="13A2CF2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4）运营期建立定期巡视制度，尤其是运营数年后应加大巡视密度，发现小股泄露即应更换破损管节，避免爆管更换。</w:t>
            </w:r>
          </w:p>
          <w:p w14:paraId="180B7E4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5）当发生管网爆管、断管、漏水时，必须立即采取措施，对突发地段进行闭管，并及时报告当地有关职能部门。</w:t>
            </w:r>
          </w:p>
          <w:p w14:paraId="468079D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（5）其他风险防范措施</w:t>
            </w:r>
          </w:p>
          <w:p w14:paraId="33487B5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1）严格规范设计，高标准建设</w:t>
            </w:r>
          </w:p>
          <w:p w14:paraId="312206A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在工程设计上，对系统设备要按照经济合理、技术成熟、设备先进的原则进行设计，建设过程中严格监督管理、保证质量，从从源头上严控风险隐患。</w:t>
            </w:r>
          </w:p>
          <w:p w14:paraId="52871DB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2）规范管理，制定应急事故处置预案</w:t>
            </w:r>
          </w:p>
          <w:p w14:paraId="40957D3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根据污水处理设备事故成因，分别制定应急处置预案，做到管理有序、操作规范、巡查到位，把安全生产放在首位。</w:t>
            </w:r>
          </w:p>
          <w:p w14:paraId="62C7F95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3）加强职工培训，提高安全意识</w:t>
            </w:r>
          </w:p>
          <w:p w14:paraId="513468A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严格执行持证上岗制度。在设备运行过程中，要按照相关规定对管理、技术等人员定期进行操作技术、安全知识等培训，提高操作技术水平，强化风险意识，从人的因素上杜绝风险事故产生。</w:t>
            </w:r>
          </w:p>
          <w:p w14:paraId="3F30496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4）强化运行管理，故障处置及时</w:t>
            </w:r>
          </w:p>
          <w:p w14:paraId="6D85A9E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强化系统安全检查、巡查，健全巡检档案。对关键设备做好备品备件储存、保养。强化自然灾害防范，做好防雷、防风设备维护。在做好双电路供电保障的同时，自备供电设备要定期检查、调试。</w:t>
            </w:r>
          </w:p>
          <w:p w14:paraId="504EFF5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5）建立信息互通，共同处置</w:t>
            </w:r>
          </w:p>
          <w:p w14:paraId="4AA0ADF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cs="Times New Roman"/>
                <w:b/>
                <w:bCs/>
                <w:color w:val="auto"/>
                <w:sz w:val="21"/>
                <w:szCs w:val="21"/>
                <w:highlight w:val="none"/>
                <w:lang w:val="en-US" w:eastAsia="zh-CN"/>
              </w:rPr>
            </w:pPr>
            <w:r>
              <w:rPr>
                <w:rFonts w:hint="eastAsia" w:cs="Times New Roman"/>
                <w:b w:val="0"/>
                <w:bCs w:val="0"/>
                <w:color w:val="auto"/>
                <w:sz w:val="21"/>
                <w:szCs w:val="21"/>
                <w:highlight w:val="none"/>
                <w:lang w:val="en-US" w:eastAsia="zh-CN"/>
              </w:rPr>
              <w:t>项目运营单位应与地方政府、环保、水利等相关部门建立信息互通机制，当发生故障时，应在1小时内通报相关部门，会同相关部门成立应急处理小组，协同处置污染事故。政府部门负责指挥、协调，水利部门负责水利工程调度、水污染调查；环保部门组织开展应急监测、水污染情况通报等。各相关部门在政府部门统一指挥下，协同工作，将事故影响控制在最小范围，影响程度控制在最低，后期处理最彻底。</w:t>
            </w:r>
          </w:p>
          <w:p w14:paraId="01CC8C0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突发事故对策和应急方案</w:t>
            </w:r>
            <w:bookmarkEnd w:id="7"/>
            <w:bookmarkEnd w:id="8"/>
          </w:p>
          <w:p w14:paraId="68A6AB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建设单位突发环境事件应急预案中应包含污水处理系统突发性水污染事故排放情景及应急处置措施，并上报相关主管部门备案。在污水收集、输送和处理过程中，一旦出现突发性事故，必须按预先拟定的方案，进行紧急处理。</w:t>
            </w:r>
          </w:p>
          <w:p w14:paraId="74BBEE8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9" w:name="_Toc11002_WPSOffice_Level2"/>
            <w:bookmarkStart w:id="10" w:name="_Toc24046"/>
            <w:r>
              <w:rPr>
                <w:rFonts w:hint="eastAsia"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建立事故性排放的报告制度</w:t>
            </w:r>
            <w:bookmarkEnd w:id="9"/>
            <w:bookmarkEnd w:id="10"/>
          </w:p>
          <w:p w14:paraId="09386E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一旦事故性排放事件发生，应及时发现和处理，并迅速向当地政府及有关职能部门报告，配合当地政府对事故性排放进行处理，开展污染事故监测工作。做好排污河段水质的应急监测工作，增加监测频次和参数。及时将事故信息通知相关单位，减少事故性排放的社会影响。</w:t>
            </w:r>
          </w:p>
          <w:p w14:paraId="1A3C0D4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1" w:name="_Toc19164_WPSOffice_Level2"/>
            <w:bookmarkStart w:id="12" w:name="_Toc4393"/>
            <w:r>
              <w:rPr>
                <w:rFonts w:hint="eastAsia"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en-US"/>
              </w:rPr>
              <w:t>加强应对事故性排放处理设施设备及物质的准备</w:t>
            </w:r>
            <w:bookmarkEnd w:id="11"/>
            <w:bookmarkEnd w:id="12"/>
          </w:p>
          <w:p w14:paraId="040B78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当污水处理设施出现非正常运行，废水排放超标时，应立即对发生事故的工艺构筑物停止进水，并安排专业技术人员对发生故障的废水处理设施进行故障排查与抢修。工程污水处理设施恢复正常后，将事故废水排入处理设施重新处理。故针对事故性排放，运营单位日常应设置预防性的处理设施设备和储备相应的应急物质。</w:t>
            </w:r>
          </w:p>
          <w:p w14:paraId="096FD7E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3" w:name="_Toc21588"/>
            <w:bookmarkStart w:id="14" w:name="_Toc16715_WPSOffice_Level2"/>
            <w:r>
              <w:rPr>
                <w:rFonts w:hint="eastAsia"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建立责任追究机制</w:t>
            </w:r>
            <w:bookmarkEnd w:id="13"/>
            <w:bookmarkEnd w:id="14"/>
          </w:p>
          <w:p w14:paraId="60262A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color w:val="auto"/>
              </w:rPr>
            </w:pPr>
            <w:r>
              <w:rPr>
                <w:rFonts w:hint="default" w:ascii="Times New Roman" w:hAnsi="Times New Roman" w:eastAsia="宋体" w:cs="Times New Roman"/>
                <w:color w:val="auto"/>
                <w:sz w:val="21"/>
                <w:szCs w:val="21"/>
                <w:highlight w:val="none"/>
                <w:lang w:val="en-US" w:eastAsia="en-US"/>
              </w:rPr>
              <w:t>为避免发生水环境风险事故，必须建立健全科学的责任追究制度。如果发生水环境风险事故，必须按照相关制度进行责任追究，直至述诸法律追责。</w:t>
            </w:r>
          </w:p>
        </w:tc>
      </w:tr>
      <w:tr w14:paraId="22FD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45" w:type="dxa"/>
            <w:gridSpan w:val="7"/>
          </w:tcPr>
          <w:p w14:paraId="2BBD0CF6">
            <w:pPr>
              <w:pStyle w:val="10"/>
              <w:widowControl/>
              <w:snapToGrid w:val="0"/>
              <w:spacing w:line="360" w:lineRule="exact"/>
              <w:ind w:left="0"/>
              <w:jc w:val="both"/>
              <w:rPr>
                <w:color w:val="auto"/>
                <w:lang w:eastAsia="zh-CN"/>
              </w:rPr>
            </w:pPr>
            <w:r>
              <w:rPr>
                <w:rFonts w:hint="eastAsia" w:ascii="Times New Roman" w:hAnsi="Times New Roman" w:eastAsia="宋体"/>
                <w:color w:val="auto"/>
                <w:kern w:val="2"/>
                <w:sz w:val="21"/>
                <w:szCs w:val="22"/>
                <w:lang w:eastAsia="zh-CN"/>
              </w:rPr>
              <w:t>水生态环境保护措施：</w:t>
            </w:r>
          </w:p>
          <w:p w14:paraId="06D74066">
            <w:pPr>
              <w:pStyle w:val="10"/>
              <w:snapToGrid w:val="0"/>
              <w:spacing w:line="360" w:lineRule="exact"/>
              <w:ind w:left="0" w:firstLine="420" w:firstLineChars="200"/>
              <w:jc w:val="both"/>
              <w:rPr>
                <w:rFonts w:hint="eastAsia" w:ascii="Times New Roman" w:hAnsi="Times New Roman" w:eastAsia="宋体"/>
                <w:color w:val="auto"/>
                <w:kern w:val="2"/>
                <w:sz w:val="21"/>
                <w:szCs w:val="22"/>
                <w:lang w:eastAsia="zh-CN"/>
              </w:rPr>
            </w:pPr>
            <w:r>
              <w:rPr>
                <w:rFonts w:hint="eastAsia" w:ascii="Times New Roman" w:hAnsi="Times New Roman" w:eastAsia="宋体"/>
                <w:color w:val="auto"/>
                <w:kern w:val="2"/>
                <w:sz w:val="21"/>
                <w:szCs w:val="22"/>
                <w:lang w:eastAsia="zh-CN"/>
              </w:rPr>
              <w:t>为减免该入河排污口设置带来的不利影响，入河排污口设置/使用过程中应当采取监测、巡查、预警等水生态环境保护措施，具体包括：</w:t>
            </w:r>
          </w:p>
          <w:p w14:paraId="65DE44F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15" w:name="_Toc28795"/>
            <w:bookmarkStart w:id="16" w:name="_Toc22695_WPSOffice_Level2"/>
            <w:r>
              <w:rPr>
                <w:rFonts w:hint="default" w:ascii="Times New Roman" w:hAnsi="Times New Roman" w:eastAsia="宋体" w:cs="Times New Roman"/>
                <w:b/>
                <w:bCs/>
                <w:color w:val="auto"/>
                <w:sz w:val="21"/>
                <w:szCs w:val="21"/>
                <w:highlight w:val="none"/>
                <w:lang w:val="en-US" w:eastAsia="zh-CN"/>
              </w:rPr>
              <w:t>1、</w:t>
            </w:r>
            <w:bookmarkEnd w:id="15"/>
            <w:bookmarkEnd w:id="16"/>
            <w:r>
              <w:rPr>
                <w:rFonts w:hint="default" w:ascii="Times New Roman" w:hAnsi="Times New Roman" w:eastAsia="宋体" w:cs="Times New Roman"/>
                <w:b/>
                <w:bCs/>
                <w:color w:val="auto"/>
                <w:sz w:val="21"/>
                <w:szCs w:val="21"/>
                <w:highlight w:val="none"/>
                <w:lang w:val="en-US" w:eastAsia="zh-CN"/>
              </w:rPr>
              <w:t>入河排污口规范化建设</w:t>
            </w:r>
          </w:p>
          <w:p w14:paraId="134B71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根据《入河入海排污口监督管理技术指南 入河排污口规范化建设》（HJ 1309-2023）文件要求，对排污口进行规范化建设。</w:t>
            </w:r>
          </w:p>
          <w:p w14:paraId="2B48B9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①监测采样点设置</w:t>
            </w:r>
          </w:p>
          <w:p w14:paraId="5E4B4A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监测采样点设置在废水排放口，根据排污口入河方式和污水量大小，选择适宜的监测采样点设置形式。监测采样点设置应考虑实际采样的可行性和便利性。污水排放管道或渠道监测断面应为矩形、圆形、梯形等规则形状。测流段水流应平直、稳定、有一定水位高度。</w:t>
            </w:r>
          </w:p>
          <w:p w14:paraId="5D4073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②标识牌设置</w:t>
            </w:r>
          </w:p>
          <w:p w14:paraId="207AA8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标识牌设置在污水入河处或监测采样点等位置，便于公众监督。</w:t>
            </w:r>
          </w:p>
          <w:p w14:paraId="6C5BDE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标识牌公示信息包含但不限于排污口名称、编码、类型、管理单位、责任主体、监督电话等，可根据实际需求采用文字或二维码等形式展示。标识牌可选用立柱式、平面式等。</w:t>
            </w:r>
          </w:p>
          <w:p w14:paraId="17BD51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标识牌应具有耐候、耐腐蚀等理化性能，保证一定的使用寿命。</w:t>
            </w:r>
          </w:p>
          <w:p w14:paraId="17804F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标识牌公示信息发生变化的，责任主体应及时更新或更换标识牌。</w:t>
            </w:r>
          </w:p>
          <w:p w14:paraId="4D6BFF9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7" w:name="_Toc29447_WPSOffice_Level2"/>
            <w:bookmarkStart w:id="18" w:name="_Toc4851"/>
            <w:r>
              <w:rPr>
                <w:rFonts w:hint="default" w:ascii="Times New Roman" w:hAnsi="Times New Roman" w:eastAsia="宋体" w:cs="Times New Roman"/>
                <w:b/>
                <w:bCs/>
                <w:color w:val="auto"/>
                <w:sz w:val="21"/>
                <w:szCs w:val="21"/>
                <w:highlight w:val="none"/>
                <w:lang w:val="en-US" w:eastAsia="zh-CN"/>
              </w:rPr>
              <w:t>2、</w:t>
            </w:r>
            <w:bookmarkEnd w:id="17"/>
            <w:bookmarkEnd w:id="18"/>
            <w:r>
              <w:rPr>
                <w:rFonts w:hint="default" w:ascii="Times New Roman" w:hAnsi="Times New Roman" w:eastAsia="宋体" w:cs="Times New Roman"/>
                <w:b/>
                <w:bCs/>
                <w:color w:val="auto"/>
                <w:sz w:val="21"/>
                <w:szCs w:val="21"/>
                <w:highlight w:val="none"/>
                <w:lang w:val="en-US" w:eastAsia="zh-CN"/>
              </w:rPr>
              <w:t>建立信息报送制度</w:t>
            </w:r>
          </w:p>
          <w:p w14:paraId="4BEE48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入河排污口设置单位定期向行政主管部门如实报送上一年度入河排污口有关情况的报表。行政主管部门每年按照规定的审批权限，对排污口开展监督性检查和年审工作，不定期组织排污口第三方监督性监测，并向上级行政主管部门报告排水水质、水量及污染物排放状况的统计报表。</w:t>
            </w:r>
          </w:p>
          <w:p w14:paraId="435FFE2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9" w:name="_Toc9878"/>
            <w:bookmarkStart w:id="20" w:name="_Toc15332_WPSOffice_Level2"/>
            <w:r>
              <w:rPr>
                <w:rFonts w:hint="default" w:ascii="Times New Roman" w:hAnsi="Times New Roman" w:eastAsia="宋体" w:cs="Times New Roman"/>
                <w:b/>
                <w:bCs/>
                <w:color w:val="auto"/>
                <w:sz w:val="21"/>
                <w:szCs w:val="21"/>
                <w:highlight w:val="none"/>
                <w:lang w:val="en-US" w:eastAsia="zh-CN"/>
              </w:rPr>
              <w:t>3、</w:t>
            </w:r>
            <w:bookmarkEnd w:id="19"/>
            <w:bookmarkEnd w:id="20"/>
            <w:r>
              <w:rPr>
                <w:rFonts w:hint="default" w:ascii="Times New Roman" w:hAnsi="Times New Roman" w:eastAsia="宋体" w:cs="Times New Roman"/>
                <w:b/>
                <w:bCs/>
                <w:color w:val="auto"/>
                <w:sz w:val="21"/>
                <w:szCs w:val="21"/>
                <w:highlight w:val="none"/>
                <w:lang w:val="en-US" w:eastAsia="zh-CN"/>
              </w:rPr>
              <w:t>河流枯水期保护措施</w:t>
            </w:r>
          </w:p>
          <w:p w14:paraId="58C7CB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纳污河段枯水期流量较小，因此在枯水期本项目更应加强出水水质的监管，尽量通过污水处理系统降低水污染物的排放浓度，进而减轻对河流水质和生态的影响。</w:t>
            </w:r>
          </w:p>
          <w:p w14:paraId="64BA3A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color w:val="auto"/>
                <w:lang w:eastAsia="zh-CN"/>
              </w:rPr>
            </w:pPr>
            <w:r>
              <w:rPr>
                <w:rFonts w:hint="default" w:ascii="Times New Roman" w:hAnsi="Times New Roman" w:eastAsia="宋体" w:cs="Times New Roman"/>
                <w:color w:val="auto"/>
                <w:sz w:val="21"/>
                <w:szCs w:val="21"/>
                <w:highlight w:val="none"/>
                <w:lang w:val="en-US" w:eastAsia="en-US"/>
              </w:rPr>
              <w:t>本项目污水处理厂可根据进水情况，适当增加水力停留时间，以提高污染物处理效率，减少污染物排放量，使出水在达标的基础上，进一步降低污染物排放浓度</w:t>
            </w:r>
            <w:r>
              <w:rPr>
                <w:rFonts w:hint="eastAsia" w:ascii="Times New Roman" w:hAnsi="Times New Roman" w:eastAsia="宋体" w:cs="Times New Roman"/>
                <w:color w:val="auto"/>
                <w:sz w:val="21"/>
                <w:szCs w:val="21"/>
                <w:highlight w:val="none"/>
                <w:lang w:val="en-US" w:eastAsia="zh-CN"/>
              </w:rPr>
              <w:t>。</w:t>
            </w:r>
          </w:p>
        </w:tc>
      </w:tr>
      <w:tr w14:paraId="0B81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45" w:type="dxa"/>
            <w:gridSpan w:val="7"/>
          </w:tcPr>
          <w:p w14:paraId="75380442">
            <w:pPr>
              <w:pStyle w:val="10"/>
              <w:snapToGrid w:val="0"/>
              <w:spacing w:before="0" w:line="360" w:lineRule="exact"/>
              <w:ind w:left="0"/>
              <w:jc w:val="both"/>
              <w:rPr>
                <w:color w:val="auto"/>
                <w:lang w:eastAsia="zh-CN"/>
              </w:rPr>
            </w:pPr>
            <w:r>
              <w:rPr>
                <w:rFonts w:hint="eastAsia" w:ascii="Times New Roman" w:hAnsi="Times New Roman" w:eastAsia="宋体"/>
                <w:color w:val="auto"/>
                <w:kern w:val="2"/>
                <w:sz w:val="21"/>
                <w:szCs w:val="22"/>
                <w:lang w:eastAsia="zh-CN"/>
              </w:rPr>
              <w:t>放射性物质管控措施（仅排放放射性物质的入河排污口需要记载）：</w:t>
            </w:r>
          </w:p>
          <w:p w14:paraId="02B5119E">
            <w:pPr>
              <w:widowControl/>
              <w:snapToGrid w:val="0"/>
              <w:spacing w:line="360" w:lineRule="exact"/>
              <w:rPr>
                <w:color w:val="auto"/>
                <w:szCs w:val="20"/>
              </w:rPr>
            </w:pPr>
          </w:p>
        </w:tc>
      </w:tr>
      <w:tr w14:paraId="5AC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tcPr>
          <w:p w14:paraId="53A74A90">
            <w:pPr>
              <w:widowControl/>
              <w:snapToGrid w:val="0"/>
              <w:spacing w:line="360" w:lineRule="exact"/>
              <w:rPr>
                <w:color w:val="auto"/>
                <w:kern w:val="0"/>
                <w:szCs w:val="21"/>
              </w:rPr>
            </w:pPr>
            <w:r>
              <w:rPr>
                <w:rFonts w:hint="eastAsia"/>
                <w:color w:val="auto"/>
                <w:kern w:val="0"/>
                <w:szCs w:val="21"/>
              </w:rPr>
              <w:t>其他需要注意的事项：</w:t>
            </w:r>
          </w:p>
          <w:p w14:paraId="09AA7155">
            <w:pPr>
              <w:pStyle w:val="10"/>
              <w:widowControl/>
              <w:snapToGrid w:val="0"/>
              <w:spacing w:line="360" w:lineRule="exact"/>
              <w:ind w:left="0" w:firstLine="420" w:firstLineChars="200"/>
              <w:rPr>
                <w:color w:val="auto"/>
              </w:rPr>
            </w:pPr>
            <w:r>
              <w:rPr>
                <w:rFonts w:hint="eastAsia" w:ascii="Times New Roman" w:hAnsi="Times New Roman" w:eastAsia="宋体"/>
                <w:color w:val="auto"/>
                <w:kern w:val="2"/>
                <w:sz w:val="21"/>
                <w:szCs w:val="22"/>
                <w:lang w:eastAsia="zh-CN"/>
              </w:rPr>
              <w:t>在满足污染排放要求基础上，应符合相关部门对供水、堤防安全和河势稳定等问题的保护措施要求。</w:t>
            </w:r>
          </w:p>
        </w:tc>
      </w:tr>
    </w:tbl>
    <w:p w14:paraId="2B1C8202">
      <w:pPr>
        <w:adjustRightInd w:val="0"/>
        <w:spacing w:line="360" w:lineRule="exact"/>
        <w:jc w:val="center"/>
        <w:rPr>
          <w:rFonts w:ascii="宋体" w:hAnsi="宋体"/>
          <w:spacing w:val="-5"/>
          <w:szCs w:val="21"/>
        </w:rPr>
      </w:pPr>
      <w:r>
        <w:rPr>
          <w:rFonts w:hint="eastAsia" w:ascii="宋体" w:hAnsi="宋体"/>
          <w:spacing w:val="-5"/>
          <w:szCs w:val="21"/>
        </w:rPr>
        <w:t xml:space="preserve">                                                                     铁岭市生态环境局</w:t>
      </w:r>
    </w:p>
    <w:p w14:paraId="636734B8">
      <w:pPr>
        <w:pStyle w:val="10"/>
        <w:spacing w:before="0" w:line="360" w:lineRule="exact"/>
        <w:jc w:val="right"/>
        <w:rPr>
          <w:color w:val="auto"/>
          <w:highlight w:val="none"/>
          <w:lang w:eastAsia="zh-CN"/>
        </w:rPr>
      </w:pPr>
      <w:r>
        <w:rPr>
          <w:rFonts w:hint="eastAsia" w:ascii="宋体" w:hAnsi="宋体" w:eastAsia="宋体"/>
          <w:color w:val="auto"/>
          <w:sz w:val="21"/>
          <w:szCs w:val="21"/>
          <w:highlight w:val="none"/>
          <w:lang w:eastAsia="zh-CN"/>
        </w:rPr>
        <w:t>2025</w:t>
      </w:r>
      <w:r>
        <w:rPr>
          <w:rFonts w:ascii="宋体" w:hAnsi="宋体" w:eastAsia="宋体"/>
          <w:color w:val="auto"/>
          <w:sz w:val="21"/>
          <w:szCs w:val="21"/>
          <w:highlight w:val="none"/>
          <w:lang w:eastAsia="zh-CN"/>
        </w:rPr>
        <w:t xml:space="preserve">年 </w:t>
      </w:r>
      <w:r>
        <w:rPr>
          <w:rFonts w:hint="eastAsia" w:ascii="宋体" w:hAnsi="宋体" w:eastAsia="宋体"/>
          <w:color w:val="auto"/>
          <w:sz w:val="21"/>
          <w:szCs w:val="21"/>
          <w:highlight w:val="none"/>
          <w:lang w:val="en-US" w:eastAsia="zh-CN"/>
        </w:rPr>
        <w:t xml:space="preserve">9 </w:t>
      </w:r>
      <w:r>
        <w:rPr>
          <w:rFonts w:ascii="宋体" w:hAnsi="宋体" w:eastAsia="宋体"/>
          <w:color w:val="auto"/>
          <w:sz w:val="21"/>
          <w:szCs w:val="21"/>
          <w:highlight w:val="none"/>
          <w:lang w:eastAsia="zh-CN"/>
        </w:rPr>
        <w:t xml:space="preserve">月 </w:t>
      </w:r>
      <w:r>
        <w:rPr>
          <w:rFonts w:hint="eastAsia" w:ascii="宋体" w:hAnsi="宋体" w:eastAsia="宋体"/>
          <w:color w:val="auto"/>
          <w:sz w:val="21"/>
          <w:szCs w:val="21"/>
          <w:highlight w:val="none"/>
          <w:lang w:val="en-US" w:eastAsia="zh-CN"/>
        </w:rPr>
        <w:t>3</w:t>
      </w:r>
      <w:r>
        <w:rPr>
          <w:rFonts w:ascii="宋体" w:hAnsi="宋体" w:eastAsia="宋体"/>
          <w:color w:val="auto"/>
          <w:sz w:val="21"/>
          <w:szCs w:val="21"/>
          <w:highlight w:val="none"/>
          <w:lang w:eastAsia="zh-CN"/>
        </w:rPr>
        <w:t>日</w:t>
      </w:r>
    </w:p>
    <w:bookmarkEnd w:id="0"/>
    <w:p w14:paraId="75F14AF6">
      <w:pPr>
        <w:topLinePunct/>
        <w:adjustRightInd w:val="0"/>
        <w:spacing w:line="360" w:lineRule="exact"/>
        <w:jc w:val="both"/>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0AE0150-EACB-44CC-9137-B83DF363B73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49904FA-60C8-4EA0-AC04-F8AE6B317154}"/>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E43156DE-7A7C-4C4D-9F1D-65986749E8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B06E">
    <w:pPr>
      <w:pStyle w:val="19"/>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2462E"/>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0E8B"/>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0EB"/>
    <w:rsid w:val="000B425F"/>
    <w:rsid w:val="000B7D37"/>
    <w:rsid w:val="000C0EBD"/>
    <w:rsid w:val="000C2596"/>
    <w:rsid w:val="000C73F5"/>
    <w:rsid w:val="000C791B"/>
    <w:rsid w:val="000D41A9"/>
    <w:rsid w:val="000D4844"/>
    <w:rsid w:val="000D495D"/>
    <w:rsid w:val="000D58F0"/>
    <w:rsid w:val="000E5431"/>
    <w:rsid w:val="000E7069"/>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47DF"/>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11A8"/>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887"/>
    <w:rsid w:val="00252DB6"/>
    <w:rsid w:val="00252E11"/>
    <w:rsid w:val="0025417B"/>
    <w:rsid w:val="00254A8A"/>
    <w:rsid w:val="002560E1"/>
    <w:rsid w:val="00260E77"/>
    <w:rsid w:val="00261F96"/>
    <w:rsid w:val="00263429"/>
    <w:rsid w:val="00263DAB"/>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C7675"/>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2C55"/>
    <w:rsid w:val="003131E9"/>
    <w:rsid w:val="0031412E"/>
    <w:rsid w:val="0032054E"/>
    <w:rsid w:val="00322539"/>
    <w:rsid w:val="00322832"/>
    <w:rsid w:val="003236E1"/>
    <w:rsid w:val="0032699C"/>
    <w:rsid w:val="00331B23"/>
    <w:rsid w:val="00336C9D"/>
    <w:rsid w:val="00336E50"/>
    <w:rsid w:val="00340E6A"/>
    <w:rsid w:val="00343D4E"/>
    <w:rsid w:val="0034470C"/>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87CD0"/>
    <w:rsid w:val="00391BCB"/>
    <w:rsid w:val="003A08BE"/>
    <w:rsid w:val="003A3194"/>
    <w:rsid w:val="003A3725"/>
    <w:rsid w:val="003A4889"/>
    <w:rsid w:val="003A4E0E"/>
    <w:rsid w:val="003A6E56"/>
    <w:rsid w:val="003B36F9"/>
    <w:rsid w:val="003B49AF"/>
    <w:rsid w:val="003C12E5"/>
    <w:rsid w:val="003C3349"/>
    <w:rsid w:val="003C33DA"/>
    <w:rsid w:val="003C3C91"/>
    <w:rsid w:val="003C4306"/>
    <w:rsid w:val="003C6694"/>
    <w:rsid w:val="003C7166"/>
    <w:rsid w:val="003D0C09"/>
    <w:rsid w:val="003D0EB2"/>
    <w:rsid w:val="003D212E"/>
    <w:rsid w:val="003D25C1"/>
    <w:rsid w:val="003D2709"/>
    <w:rsid w:val="003D2BDC"/>
    <w:rsid w:val="003D7BE2"/>
    <w:rsid w:val="003E0873"/>
    <w:rsid w:val="003E1632"/>
    <w:rsid w:val="003E23CE"/>
    <w:rsid w:val="003E3BF6"/>
    <w:rsid w:val="003E782B"/>
    <w:rsid w:val="003F0170"/>
    <w:rsid w:val="003F0B35"/>
    <w:rsid w:val="003F1FF6"/>
    <w:rsid w:val="003F354B"/>
    <w:rsid w:val="003F703E"/>
    <w:rsid w:val="004039B0"/>
    <w:rsid w:val="00403F75"/>
    <w:rsid w:val="00404C8B"/>
    <w:rsid w:val="00405C72"/>
    <w:rsid w:val="004061F0"/>
    <w:rsid w:val="00412D84"/>
    <w:rsid w:val="0041413F"/>
    <w:rsid w:val="00415FB1"/>
    <w:rsid w:val="00420254"/>
    <w:rsid w:val="00420643"/>
    <w:rsid w:val="00421223"/>
    <w:rsid w:val="00426522"/>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21"/>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264"/>
    <w:rsid w:val="004E4753"/>
    <w:rsid w:val="004E552E"/>
    <w:rsid w:val="004E604F"/>
    <w:rsid w:val="004E75F0"/>
    <w:rsid w:val="004F1141"/>
    <w:rsid w:val="004F1D65"/>
    <w:rsid w:val="004F1DED"/>
    <w:rsid w:val="004F272E"/>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1B"/>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3104"/>
    <w:rsid w:val="006B40AA"/>
    <w:rsid w:val="006B52F2"/>
    <w:rsid w:val="006B6371"/>
    <w:rsid w:val="006B70E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3A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5C4C"/>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786"/>
    <w:rsid w:val="00792D6B"/>
    <w:rsid w:val="0079597C"/>
    <w:rsid w:val="00797A5D"/>
    <w:rsid w:val="007A0074"/>
    <w:rsid w:val="007A4468"/>
    <w:rsid w:val="007A458C"/>
    <w:rsid w:val="007A5535"/>
    <w:rsid w:val="007A64D5"/>
    <w:rsid w:val="007A6B58"/>
    <w:rsid w:val="007A771D"/>
    <w:rsid w:val="007A79F0"/>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13ED"/>
    <w:rsid w:val="007F3934"/>
    <w:rsid w:val="007F443E"/>
    <w:rsid w:val="007F48BA"/>
    <w:rsid w:val="00800781"/>
    <w:rsid w:val="00800B27"/>
    <w:rsid w:val="008037C3"/>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1AFD"/>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069F"/>
    <w:rsid w:val="008F298C"/>
    <w:rsid w:val="008F33BA"/>
    <w:rsid w:val="008F3697"/>
    <w:rsid w:val="008F3745"/>
    <w:rsid w:val="008F3AF2"/>
    <w:rsid w:val="008F3F7D"/>
    <w:rsid w:val="008F4449"/>
    <w:rsid w:val="00902987"/>
    <w:rsid w:val="00904C70"/>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908"/>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4B7"/>
    <w:rsid w:val="009715FB"/>
    <w:rsid w:val="00972F11"/>
    <w:rsid w:val="00977288"/>
    <w:rsid w:val="009811CE"/>
    <w:rsid w:val="009812C7"/>
    <w:rsid w:val="00981315"/>
    <w:rsid w:val="00981377"/>
    <w:rsid w:val="00982197"/>
    <w:rsid w:val="00982990"/>
    <w:rsid w:val="00987FD5"/>
    <w:rsid w:val="009905A6"/>
    <w:rsid w:val="009936FF"/>
    <w:rsid w:val="00993ED7"/>
    <w:rsid w:val="00995EB2"/>
    <w:rsid w:val="009A14F9"/>
    <w:rsid w:val="009A15AC"/>
    <w:rsid w:val="009A2976"/>
    <w:rsid w:val="009A2F9E"/>
    <w:rsid w:val="009A3130"/>
    <w:rsid w:val="009A3530"/>
    <w:rsid w:val="009A38B8"/>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C78C3"/>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09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4C0"/>
    <w:rsid w:val="00A65B1F"/>
    <w:rsid w:val="00A664FD"/>
    <w:rsid w:val="00A7009E"/>
    <w:rsid w:val="00A73735"/>
    <w:rsid w:val="00A737A2"/>
    <w:rsid w:val="00A74876"/>
    <w:rsid w:val="00A74C86"/>
    <w:rsid w:val="00A77DDB"/>
    <w:rsid w:val="00A83D94"/>
    <w:rsid w:val="00A84639"/>
    <w:rsid w:val="00A85A10"/>
    <w:rsid w:val="00A86FF3"/>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39D6"/>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548"/>
    <w:rsid w:val="00AD6EC1"/>
    <w:rsid w:val="00AD7FE2"/>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0A64"/>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2CB7"/>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013D"/>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7D6"/>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3AC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625"/>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5823"/>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1346"/>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1210"/>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324"/>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0CEA"/>
    <w:rsid w:val="00FB1B85"/>
    <w:rsid w:val="00FB1D51"/>
    <w:rsid w:val="00FB35AE"/>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2466D12"/>
    <w:rsid w:val="026D26E9"/>
    <w:rsid w:val="04472A79"/>
    <w:rsid w:val="05034C75"/>
    <w:rsid w:val="06564260"/>
    <w:rsid w:val="067D17F3"/>
    <w:rsid w:val="07F55F19"/>
    <w:rsid w:val="07F7358F"/>
    <w:rsid w:val="09DA08C4"/>
    <w:rsid w:val="0A2171D8"/>
    <w:rsid w:val="0BC11EE9"/>
    <w:rsid w:val="0BFDA643"/>
    <w:rsid w:val="0C025E06"/>
    <w:rsid w:val="0CA27F6D"/>
    <w:rsid w:val="0D0A1357"/>
    <w:rsid w:val="0D841421"/>
    <w:rsid w:val="0E1E338F"/>
    <w:rsid w:val="0E2436DF"/>
    <w:rsid w:val="0EAFFE13"/>
    <w:rsid w:val="0EBD0938"/>
    <w:rsid w:val="0F2C7FC2"/>
    <w:rsid w:val="0F6A6E6B"/>
    <w:rsid w:val="0FBF4992"/>
    <w:rsid w:val="0FDB09EB"/>
    <w:rsid w:val="0FDD5904"/>
    <w:rsid w:val="10EC17B7"/>
    <w:rsid w:val="12DA28E8"/>
    <w:rsid w:val="13565192"/>
    <w:rsid w:val="1398780B"/>
    <w:rsid w:val="158F4E06"/>
    <w:rsid w:val="15FE3B78"/>
    <w:rsid w:val="16041350"/>
    <w:rsid w:val="172F68E4"/>
    <w:rsid w:val="179D1A5D"/>
    <w:rsid w:val="17B86E19"/>
    <w:rsid w:val="18185587"/>
    <w:rsid w:val="18291542"/>
    <w:rsid w:val="186407CC"/>
    <w:rsid w:val="18B81B84"/>
    <w:rsid w:val="18D524FF"/>
    <w:rsid w:val="19F1336E"/>
    <w:rsid w:val="19FBB57E"/>
    <w:rsid w:val="1A2B4310"/>
    <w:rsid w:val="1A587293"/>
    <w:rsid w:val="1AB84C4F"/>
    <w:rsid w:val="1AE3E9B7"/>
    <w:rsid w:val="1B2D8937"/>
    <w:rsid w:val="1BDD2BE1"/>
    <w:rsid w:val="1C63577B"/>
    <w:rsid w:val="1CDF53C0"/>
    <w:rsid w:val="1D17405F"/>
    <w:rsid w:val="1D596D99"/>
    <w:rsid w:val="1E202CF1"/>
    <w:rsid w:val="1F397911"/>
    <w:rsid w:val="1F3B06AC"/>
    <w:rsid w:val="1F9A4CB0"/>
    <w:rsid w:val="203A1ACD"/>
    <w:rsid w:val="20C5525C"/>
    <w:rsid w:val="20D83B05"/>
    <w:rsid w:val="21512926"/>
    <w:rsid w:val="22207FFF"/>
    <w:rsid w:val="229A6554"/>
    <w:rsid w:val="23BC326A"/>
    <w:rsid w:val="23EBF95F"/>
    <w:rsid w:val="24074DC2"/>
    <w:rsid w:val="240E19B7"/>
    <w:rsid w:val="24672B46"/>
    <w:rsid w:val="25903571"/>
    <w:rsid w:val="26094761"/>
    <w:rsid w:val="264D0715"/>
    <w:rsid w:val="26906C30"/>
    <w:rsid w:val="26A511A6"/>
    <w:rsid w:val="272555CB"/>
    <w:rsid w:val="274F0C47"/>
    <w:rsid w:val="298A3D09"/>
    <w:rsid w:val="29A80A9E"/>
    <w:rsid w:val="29A901D7"/>
    <w:rsid w:val="2A81263B"/>
    <w:rsid w:val="2A9071FF"/>
    <w:rsid w:val="2B176FCC"/>
    <w:rsid w:val="2BD36676"/>
    <w:rsid w:val="2C486806"/>
    <w:rsid w:val="2CE01C5C"/>
    <w:rsid w:val="2D172C70"/>
    <w:rsid w:val="2D8F379E"/>
    <w:rsid w:val="2D9B2143"/>
    <w:rsid w:val="2DA6475A"/>
    <w:rsid w:val="2DCD6480"/>
    <w:rsid w:val="2E112405"/>
    <w:rsid w:val="2E3D144C"/>
    <w:rsid w:val="2F4F7689"/>
    <w:rsid w:val="2F5FD4B2"/>
    <w:rsid w:val="3062639E"/>
    <w:rsid w:val="30B453C0"/>
    <w:rsid w:val="31701D2A"/>
    <w:rsid w:val="318D26EA"/>
    <w:rsid w:val="32290665"/>
    <w:rsid w:val="327318E0"/>
    <w:rsid w:val="33154729"/>
    <w:rsid w:val="33BF2903"/>
    <w:rsid w:val="34140BDA"/>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6A67D9"/>
    <w:rsid w:val="3A797CAF"/>
    <w:rsid w:val="3ACBD264"/>
    <w:rsid w:val="3AD7394F"/>
    <w:rsid w:val="3B6224F2"/>
    <w:rsid w:val="3BB93E68"/>
    <w:rsid w:val="3BBF513D"/>
    <w:rsid w:val="3BFBAC74"/>
    <w:rsid w:val="3CBE19AA"/>
    <w:rsid w:val="3CDEB68B"/>
    <w:rsid w:val="3D1E4B3E"/>
    <w:rsid w:val="3D2F28A7"/>
    <w:rsid w:val="3D440BCD"/>
    <w:rsid w:val="3D5E58F7"/>
    <w:rsid w:val="3D6064EF"/>
    <w:rsid w:val="3DB26019"/>
    <w:rsid w:val="3DCF8497"/>
    <w:rsid w:val="3DDA0E2F"/>
    <w:rsid w:val="3DEF2F52"/>
    <w:rsid w:val="3E410AE4"/>
    <w:rsid w:val="3E5D256C"/>
    <w:rsid w:val="3EA05CBF"/>
    <w:rsid w:val="3EE4B5F7"/>
    <w:rsid w:val="3EF96906"/>
    <w:rsid w:val="3F4B7F0F"/>
    <w:rsid w:val="3F4F1BC3"/>
    <w:rsid w:val="3F59FBCB"/>
    <w:rsid w:val="3FBA75E8"/>
    <w:rsid w:val="3FCE91F8"/>
    <w:rsid w:val="3FEDB705"/>
    <w:rsid w:val="3FF311E4"/>
    <w:rsid w:val="3FF76A73"/>
    <w:rsid w:val="3FFBA2A1"/>
    <w:rsid w:val="3FFF7528"/>
    <w:rsid w:val="40C559FD"/>
    <w:rsid w:val="418864EF"/>
    <w:rsid w:val="419B49AF"/>
    <w:rsid w:val="42005B16"/>
    <w:rsid w:val="42143FBC"/>
    <w:rsid w:val="42726ECF"/>
    <w:rsid w:val="42E47C90"/>
    <w:rsid w:val="430622FC"/>
    <w:rsid w:val="43EB2EA4"/>
    <w:rsid w:val="440E51DB"/>
    <w:rsid w:val="442246DB"/>
    <w:rsid w:val="4484797D"/>
    <w:rsid w:val="44C8791D"/>
    <w:rsid w:val="450F36EA"/>
    <w:rsid w:val="45B24076"/>
    <w:rsid w:val="46467707"/>
    <w:rsid w:val="467B6220"/>
    <w:rsid w:val="47522184"/>
    <w:rsid w:val="47D41179"/>
    <w:rsid w:val="482A25E9"/>
    <w:rsid w:val="485824B9"/>
    <w:rsid w:val="493556E9"/>
    <w:rsid w:val="4976569D"/>
    <w:rsid w:val="49BA48C9"/>
    <w:rsid w:val="49CF1E07"/>
    <w:rsid w:val="4ABE4612"/>
    <w:rsid w:val="4B15464D"/>
    <w:rsid w:val="4B4E0679"/>
    <w:rsid w:val="4B7F0E9E"/>
    <w:rsid w:val="4BB22BD9"/>
    <w:rsid w:val="4C2C0939"/>
    <w:rsid w:val="4C2C625F"/>
    <w:rsid w:val="4D1D4262"/>
    <w:rsid w:val="4D1F0243"/>
    <w:rsid w:val="4D3B4D64"/>
    <w:rsid w:val="4DBE96BF"/>
    <w:rsid w:val="4E3F6FA8"/>
    <w:rsid w:val="4E761A7B"/>
    <w:rsid w:val="4E7A46AF"/>
    <w:rsid w:val="4EFDF4D7"/>
    <w:rsid w:val="4FA233AD"/>
    <w:rsid w:val="4FFF2D6A"/>
    <w:rsid w:val="50227C85"/>
    <w:rsid w:val="50D97BF5"/>
    <w:rsid w:val="510C05F6"/>
    <w:rsid w:val="51164E29"/>
    <w:rsid w:val="51663C9A"/>
    <w:rsid w:val="51774FE5"/>
    <w:rsid w:val="51D43D07"/>
    <w:rsid w:val="525B5E53"/>
    <w:rsid w:val="5314426D"/>
    <w:rsid w:val="536F7A4A"/>
    <w:rsid w:val="541F721C"/>
    <w:rsid w:val="54801843"/>
    <w:rsid w:val="54AD25D8"/>
    <w:rsid w:val="54EE666D"/>
    <w:rsid w:val="5599D6D3"/>
    <w:rsid w:val="55DD52C1"/>
    <w:rsid w:val="561F0B20"/>
    <w:rsid w:val="56963A5E"/>
    <w:rsid w:val="56A26632"/>
    <w:rsid w:val="56EF634F"/>
    <w:rsid w:val="56FF222C"/>
    <w:rsid w:val="570B1F9E"/>
    <w:rsid w:val="570C5CDB"/>
    <w:rsid w:val="57B79897"/>
    <w:rsid w:val="57F5C41D"/>
    <w:rsid w:val="585146C8"/>
    <w:rsid w:val="59AD6BD6"/>
    <w:rsid w:val="59ADC631"/>
    <w:rsid w:val="59DD2988"/>
    <w:rsid w:val="59FB2A32"/>
    <w:rsid w:val="5A0A04CC"/>
    <w:rsid w:val="5AFF321E"/>
    <w:rsid w:val="5B4E7A84"/>
    <w:rsid w:val="5B7EA3E9"/>
    <w:rsid w:val="5B9D1B1E"/>
    <w:rsid w:val="5BCC5A39"/>
    <w:rsid w:val="5BEF9706"/>
    <w:rsid w:val="5BFFE157"/>
    <w:rsid w:val="5C9E5420"/>
    <w:rsid w:val="5CAC6A8A"/>
    <w:rsid w:val="5CF53A02"/>
    <w:rsid w:val="5D064F7B"/>
    <w:rsid w:val="5D582E99"/>
    <w:rsid w:val="5D5FCA30"/>
    <w:rsid w:val="5DCC78AD"/>
    <w:rsid w:val="5DDE6B4B"/>
    <w:rsid w:val="5DEB6D7F"/>
    <w:rsid w:val="5DF76BE1"/>
    <w:rsid w:val="5DFD7922"/>
    <w:rsid w:val="5E3840B8"/>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0F70A7"/>
    <w:rsid w:val="606621B4"/>
    <w:rsid w:val="60BF4586"/>
    <w:rsid w:val="60E81DBB"/>
    <w:rsid w:val="614B6D12"/>
    <w:rsid w:val="61E5A510"/>
    <w:rsid w:val="625C7A39"/>
    <w:rsid w:val="62F021A1"/>
    <w:rsid w:val="63490BD7"/>
    <w:rsid w:val="63A364B9"/>
    <w:rsid w:val="63BE1555"/>
    <w:rsid w:val="63FA6B1B"/>
    <w:rsid w:val="647F13A0"/>
    <w:rsid w:val="64B79261"/>
    <w:rsid w:val="64D33A17"/>
    <w:rsid w:val="65114A69"/>
    <w:rsid w:val="65594A90"/>
    <w:rsid w:val="6561001D"/>
    <w:rsid w:val="658E3D60"/>
    <w:rsid w:val="65F9C941"/>
    <w:rsid w:val="663754B0"/>
    <w:rsid w:val="66703608"/>
    <w:rsid w:val="66EDEF08"/>
    <w:rsid w:val="66F355ED"/>
    <w:rsid w:val="66FFF09D"/>
    <w:rsid w:val="67047C48"/>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5C7C70"/>
    <w:rsid w:val="6F636604"/>
    <w:rsid w:val="6F7C3251"/>
    <w:rsid w:val="6FDFA327"/>
    <w:rsid w:val="6FEF813C"/>
    <w:rsid w:val="6FFEBBA4"/>
    <w:rsid w:val="6FFF2EE4"/>
    <w:rsid w:val="70657DB3"/>
    <w:rsid w:val="706933FF"/>
    <w:rsid w:val="708E10B8"/>
    <w:rsid w:val="718E295C"/>
    <w:rsid w:val="71B9DEF1"/>
    <w:rsid w:val="71D68E8F"/>
    <w:rsid w:val="72606D04"/>
    <w:rsid w:val="72A619EF"/>
    <w:rsid w:val="72BD28C7"/>
    <w:rsid w:val="72E07771"/>
    <w:rsid w:val="734F0FD2"/>
    <w:rsid w:val="737415B2"/>
    <w:rsid w:val="737782FA"/>
    <w:rsid w:val="73FE15E2"/>
    <w:rsid w:val="74640AAD"/>
    <w:rsid w:val="74B66E2F"/>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FFED4B"/>
    <w:rsid w:val="79B78283"/>
    <w:rsid w:val="79BD07B4"/>
    <w:rsid w:val="79D0253E"/>
    <w:rsid w:val="79EFA7F3"/>
    <w:rsid w:val="79F7B33A"/>
    <w:rsid w:val="7A41363F"/>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5772A"/>
    <w:rsid w:val="7C7A9AB6"/>
    <w:rsid w:val="7C8F034D"/>
    <w:rsid w:val="7C96D794"/>
    <w:rsid w:val="7C9790BD"/>
    <w:rsid w:val="7C9A45E8"/>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CD1C41"/>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9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Normal Indent"/>
    <w:basedOn w:val="1"/>
    <w:next w:val="1"/>
    <w:qFormat/>
    <w:uiPriority w:val="0"/>
    <w:pPr>
      <w:ind w:firstLine="420"/>
    </w:pPr>
  </w:style>
  <w:style w:type="paragraph" w:styleId="8">
    <w:name w:val="annotation text"/>
    <w:basedOn w:val="1"/>
    <w:link w:val="44"/>
    <w:unhideWhenUsed/>
    <w:qFormat/>
    <w:uiPriority w:val="99"/>
    <w:pPr>
      <w:jc w:val="left"/>
    </w:pPr>
  </w:style>
  <w:style w:type="paragraph" w:styleId="9">
    <w:name w:val="Salutation"/>
    <w:basedOn w:val="1"/>
    <w:next w:val="1"/>
    <w:link w:val="45"/>
    <w:qFormat/>
    <w:uiPriority w:val="0"/>
    <w:rPr>
      <w:szCs w:val="20"/>
      <w:lang w:bidi="mn-Mong-CN"/>
    </w:rPr>
  </w:style>
  <w:style w:type="paragraph" w:styleId="10">
    <w:name w:val="Body Text"/>
    <w:basedOn w:val="1"/>
    <w:link w:val="40"/>
    <w:qFormat/>
    <w:uiPriority w:val="0"/>
    <w:pPr>
      <w:spacing w:before="39"/>
      <w:ind w:left="111"/>
      <w:jc w:val="left"/>
    </w:pPr>
    <w:rPr>
      <w:rFonts w:ascii="仿宋_GB2312" w:hAnsi="仿宋_GB2312" w:eastAsia="仿宋_GB2312"/>
      <w:kern w:val="0"/>
      <w:sz w:val="30"/>
      <w:szCs w:val="30"/>
      <w:lang w:eastAsia="en-US"/>
    </w:rPr>
  </w:style>
  <w:style w:type="paragraph" w:styleId="11">
    <w:name w:val="Body Text Indent"/>
    <w:basedOn w:val="1"/>
    <w:semiHidden/>
    <w:unhideWhenUsed/>
    <w:qFormat/>
    <w:uiPriority w:val="99"/>
    <w:pPr>
      <w:spacing w:after="120"/>
      <w:ind w:left="420" w:leftChars="200"/>
    </w:pPr>
  </w:style>
  <w:style w:type="paragraph" w:styleId="12">
    <w:name w:val="toc 5"/>
    <w:basedOn w:val="1"/>
    <w:next w:val="1"/>
    <w:unhideWhenUsed/>
    <w:qFormat/>
    <w:uiPriority w:val="39"/>
    <w:pPr>
      <w:ind w:left="840"/>
      <w:jc w:val="left"/>
    </w:pPr>
    <w:rPr>
      <w:rFonts w:ascii="等线" w:eastAsia="等线"/>
      <w:sz w:val="18"/>
      <w:szCs w:val="18"/>
    </w:rPr>
  </w:style>
  <w:style w:type="paragraph" w:styleId="13">
    <w:name w:val="toc 3"/>
    <w:basedOn w:val="1"/>
    <w:next w:val="1"/>
    <w:unhideWhenUsed/>
    <w:qFormat/>
    <w:uiPriority w:val="39"/>
    <w:pPr>
      <w:ind w:left="420"/>
      <w:jc w:val="left"/>
    </w:pPr>
    <w:rPr>
      <w:rFonts w:ascii="等线" w:eastAsia="等线"/>
      <w:i/>
      <w:iCs/>
      <w:sz w:val="20"/>
      <w:szCs w:val="20"/>
    </w:rPr>
  </w:style>
  <w:style w:type="paragraph" w:styleId="14">
    <w:name w:val="toc 8"/>
    <w:basedOn w:val="1"/>
    <w:next w:val="1"/>
    <w:unhideWhenUsed/>
    <w:qFormat/>
    <w:uiPriority w:val="39"/>
    <w:pPr>
      <w:ind w:left="1470"/>
      <w:jc w:val="left"/>
    </w:pPr>
    <w:rPr>
      <w:rFonts w:ascii="等线" w:eastAsia="等线"/>
      <w:sz w:val="18"/>
      <w:szCs w:val="18"/>
    </w:rPr>
  </w:style>
  <w:style w:type="paragraph" w:styleId="15">
    <w:name w:val="Date"/>
    <w:basedOn w:val="1"/>
    <w:next w:val="1"/>
    <w:link w:val="46"/>
    <w:unhideWhenUsed/>
    <w:qFormat/>
    <w:uiPriority w:val="99"/>
    <w:pPr>
      <w:ind w:left="100" w:leftChars="2500"/>
    </w:pPr>
  </w:style>
  <w:style w:type="paragraph" w:styleId="16">
    <w:name w:val="Body Text Indent 2"/>
    <w:basedOn w:val="1"/>
    <w:next w:val="1"/>
    <w:link w:val="47"/>
    <w:qFormat/>
    <w:uiPriority w:val="0"/>
    <w:pPr>
      <w:spacing w:after="120" w:line="480" w:lineRule="auto"/>
      <w:ind w:left="420" w:leftChars="200" w:firstLine="200" w:firstLineChars="200"/>
    </w:pPr>
    <w:rPr>
      <w:szCs w:val="24"/>
    </w:rPr>
  </w:style>
  <w:style w:type="paragraph" w:styleId="17">
    <w:name w:val="endnote text"/>
    <w:basedOn w:val="1"/>
    <w:link w:val="48"/>
    <w:unhideWhenUsed/>
    <w:qFormat/>
    <w:uiPriority w:val="99"/>
    <w:pPr>
      <w:snapToGrid w:val="0"/>
      <w:jc w:val="left"/>
    </w:pPr>
  </w:style>
  <w:style w:type="paragraph" w:styleId="18">
    <w:name w:val="Balloon Text"/>
    <w:basedOn w:val="1"/>
    <w:link w:val="49"/>
    <w:unhideWhenUsed/>
    <w:qFormat/>
    <w:uiPriority w:val="99"/>
    <w:rPr>
      <w:sz w:val="18"/>
      <w:szCs w:val="18"/>
    </w:rPr>
  </w:style>
  <w:style w:type="paragraph" w:styleId="19">
    <w:name w:val="footer"/>
    <w:basedOn w:val="1"/>
    <w:link w:val="50"/>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等线" w:eastAsia="等线"/>
      <w:b/>
      <w:bCs/>
      <w:caps/>
      <w:sz w:val="20"/>
      <w:szCs w:val="20"/>
    </w:rPr>
  </w:style>
  <w:style w:type="paragraph" w:styleId="22">
    <w:name w:val="toc 4"/>
    <w:basedOn w:val="1"/>
    <w:next w:val="1"/>
    <w:unhideWhenUsed/>
    <w:qFormat/>
    <w:uiPriority w:val="39"/>
    <w:pPr>
      <w:ind w:left="630"/>
      <w:jc w:val="left"/>
    </w:pPr>
    <w:rPr>
      <w:rFonts w:ascii="等线" w:eastAsia="等线"/>
      <w:sz w:val="18"/>
      <w:szCs w:val="18"/>
    </w:rPr>
  </w:style>
  <w:style w:type="paragraph" w:styleId="23">
    <w:name w:val="footnote text"/>
    <w:basedOn w:val="1"/>
    <w:link w:val="52"/>
    <w:unhideWhenUsed/>
    <w:qFormat/>
    <w:uiPriority w:val="99"/>
    <w:pPr>
      <w:snapToGrid w:val="0"/>
      <w:jc w:val="left"/>
    </w:pPr>
    <w:rPr>
      <w:sz w:val="18"/>
      <w:szCs w:val="18"/>
    </w:rPr>
  </w:style>
  <w:style w:type="paragraph" w:styleId="24">
    <w:name w:val="toc 6"/>
    <w:basedOn w:val="1"/>
    <w:next w:val="1"/>
    <w:unhideWhenUsed/>
    <w:qFormat/>
    <w:uiPriority w:val="39"/>
    <w:pPr>
      <w:ind w:left="1050"/>
      <w:jc w:val="left"/>
    </w:pPr>
    <w:rPr>
      <w:rFonts w:ascii="等线" w:eastAsia="等线"/>
      <w:sz w:val="18"/>
      <w:szCs w:val="18"/>
    </w:rPr>
  </w:style>
  <w:style w:type="paragraph" w:styleId="25">
    <w:name w:val="toc 2"/>
    <w:basedOn w:val="1"/>
    <w:next w:val="1"/>
    <w:unhideWhenUsed/>
    <w:qFormat/>
    <w:uiPriority w:val="39"/>
    <w:pPr>
      <w:ind w:left="210"/>
      <w:jc w:val="left"/>
    </w:pPr>
    <w:rPr>
      <w:rFonts w:ascii="等线" w:eastAsia="等线"/>
      <w:smallCaps/>
      <w:sz w:val="20"/>
      <w:szCs w:val="20"/>
    </w:rPr>
  </w:style>
  <w:style w:type="paragraph" w:styleId="26">
    <w:name w:val="toc 9"/>
    <w:basedOn w:val="1"/>
    <w:next w:val="1"/>
    <w:unhideWhenUsed/>
    <w:qFormat/>
    <w:uiPriority w:val="39"/>
    <w:pPr>
      <w:ind w:left="1680"/>
      <w:jc w:val="left"/>
    </w:pPr>
    <w:rPr>
      <w:rFonts w:ascii="等线" w:eastAsia="等线"/>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unhideWhenUsed/>
    <w:qFormat/>
    <w:uiPriority w:val="99"/>
    <w:rPr>
      <w:b/>
      <w:bCs/>
    </w:rPr>
  </w:style>
  <w:style w:type="paragraph" w:styleId="29">
    <w:name w:val="Body Text First Indent 2"/>
    <w:basedOn w:val="11"/>
    <w:unhideWhenUsed/>
    <w:qFormat/>
    <w:uiPriority w:val="99"/>
    <w:pPr>
      <w:ind w:firstLine="420"/>
    </w:pPr>
  </w:style>
  <w:style w:type="table" w:styleId="31">
    <w:name w:val="Table Grid"/>
    <w:basedOn w:val="30"/>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endnote reference"/>
    <w:unhideWhenUsed/>
    <w:qFormat/>
    <w:uiPriority w:val="99"/>
    <w:rPr>
      <w:vertAlign w:val="superscript"/>
    </w:rPr>
  </w:style>
  <w:style w:type="character" w:styleId="35">
    <w:name w:val="page number"/>
    <w:qFormat/>
    <w:uiPriority w:val="0"/>
    <w:rPr>
      <w:rFonts w:ascii="Times New Roman" w:hAnsi="Times New Roman" w:eastAsia="宋体"/>
      <w:sz w:val="18"/>
    </w:rPr>
  </w:style>
  <w:style w:type="character" w:styleId="36">
    <w:name w:val="Emphasis"/>
    <w:qFormat/>
    <w:uiPriority w:val="20"/>
    <w:rPr>
      <w:i/>
    </w:rPr>
  </w:style>
  <w:style w:type="character" w:styleId="37">
    <w:name w:val="Hyperlink"/>
    <w:basedOn w:val="32"/>
    <w:unhideWhenUsed/>
    <w:qFormat/>
    <w:uiPriority w:val="99"/>
    <w:rPr>
      <w:color w:val="0563C1"/>
      <w:u w:val="single"/>
    </w:rPr>
  </w:style>
  <w:style w:type="character" w:styleId="38">
    <w:name w:val="annotation reference"/>
    <w:unhideWhenUsed/>
    <w:qFormat/>
    <w:uiPriority w:val="99"/>
    <w:rPr>
      <w:sz w:val="21"/>
      <w:szCs w:val="21"/>
    </w:rPr>
  </w:style>
  <w:style w:type="character" w:styleId="39">
    <w:name w:val="footnote reference"/>
    <w:unhideWhenUsed/>
    <w:qFormat/>
    <w:uiPriority w:val="99"/>
    <w:rPr>
      <w:vertAlign w:val="superscript"/>
    </w:rPr>
  </w:style>
  <w:style w:type="character" w:customStyle="1" w:styleId="40">
    <w:name w:val="正文文本 Char1"/>
    <w:link w:val="10"/>
    <w:qFormat/>
    <w:uiPriority w:val="0"/>
    <w:rPr>
      <w:rFonts w:ascii="仿宋_GB2312" w:hAnsi="仿宋_GB2312" w:eastAsia="仿宋_GB2312" w:cs="Times New Roman"/>
      <w:sz w:val="30"/>
      <w:szCs w:val="30"/>
      <w:lang w:eastAsia="en-US" w:bidi="ar-SA"/>
    </w:rPr>
  </w:style>
  <w:style w:type="character" w:customStyle="1" w:styleId="41">
    <w:name w:val="标题 1 Char1"/>
    <w:link w:val="2"/>
    <w:qFormat/>
    <w:uiPriority w:val="0"/>
    <w:rPr>
      <w:rFonts w:ascii="等线" w:hAnsi="等线" w:eastAsia="等线" w:cs="Times New Roman"/>
      <w:b/>
      <w:bCs/>
      <w:kern w:val="44"/>
      <w:sz w:val="44"/>
      <w:szCs w:val="44"/>
      <w:lang w:bidi="ar-SA"/>
    </w:rPr>
  </w:style>
  <w:style w:type="character" w:customStyle="1" w:styleId="42">
    <w:name w:val="标题 2 Char1"/>
    <w:link w:val="3"/>
    <w:qFormat/>
    <w:uiPriority w:val="9"/>
    <w:rPr>
      <w:rFonts w:ascii="Calibri Light" w:hAnsi="Calibri Light" w:eastAsia="宋体" w:cs="Mongolian Baiti"/>
      <w:b/>
      <w:bCs/>
      <w:sz w:val="32"/>
      <w:szCs w:val="32"/>
      <w:lang w:bidi="ar-SA"/>
    </w:rPr>
  </w:style>
  <w:style w:type="character" w:customStyle="1" w:styleId="43">
    <w:name w:val="标题 3 Char"/>
    <w:link w:val="4"/>
    <w:semiHidden/>
    <w:qFormat/>
    <w:uiPriority w:val="9"/>
    <w:rPr>
      <w:rFonts w:ascii="Times New Roman" w:hAnsi="Times New Roman" w:eastAsia="宋体" w:cs="Times New Roman"/>
      <w:b/>
      <w:bCs/>
      <w:kern w:val="2"/>
      <w:sz w:val="32"/>
      <w:szCs w:val="32"/>
      <w:lang w:bidi="ar-SA"/>
    </w:rPr>
  </w:style>
  <w:style w:type="character" w:customStyle="1" w:styleId="44">
    <w:name w:val="批注文字 Char"/>
    <w:link w:val="8"/>
    <w:qFormat/>
    <w:uiPriority w:val="99"/>
    <w:rPr>
      <w:rFonts w:ascii="Times New Roman" w:hAnsi="Times New Roman" w:eastAsia="宋体" w:cs="Times New Roman"/>
      <w:szCs w:val="22"/>
      <w:lang w:bidi="ar-SA"/>
    </w:rPr>
  </w:style>
  <w:style w:type="character" w:customStyle="1" w:styleId="45">
    <w:name w:val="称呼 Char"/>
    <w:link w:val="9"/>
    <w:qFormat/>
    <w:uiPriority w:val="0"/>
    <w:rPr>
      <w:rFonts w:ascii="Times New Roman" w:hAnsi="Times New Roman" w:eastAsia="宋体" w:cs="Times New Roman"/>
      <w:kern w:val="2"/>
      <w:sz w:val="21"/>
    </w:rPr>
  </w:style>
  <w:style w:type="character" w:customStyle="1" w:styleId="46">
    <w:name w:val="日期 Char"/>
    <w:link w:val="15"/>
    <w:semiHidden/>
    <w:qFormat/>
    <w:uiPriority w:val="99"/>
    <w:rPr>
      <w:rFonts w:ascii="Times New Roman" w:hAnsi="Times New Roman" w:eastAsia="宋体" w:cs="Times New Roman"/>
      <w:kern w:val="2"/>
      <w:sz w:val="21"/>
      <w:szCs w:val="22"/>
      <w:lang w:bidi="ar-SA"/>
    </w:rPr>
  </w:style>
  <w:style w:type="character" w:customStyle="1" w:styleId="47">
    <w:name w:val="正文文本缩进 2 Char"/>
    <w:link w:val="16"/>
    <w:qFormat/>
    <w:uiPriority w:val="0"/>
    <w:rPr>
      <w:rFonts w:ascii="Times New Roman" w:hAnsi="Times New Roman" w:eastAsia="宋体" w:cs="Times New Roman"/>
      <w:kern w:val="2"/>
      <w:sz w:val="21"/>
      <w:szCs w:val="24"/>
      <w:lang w:bidi="ar-SA"/>
    </w:rPr>
  </w:style>
  <w:style w:type="character" w:customStyle="1" w:styleId="48">
    <w:name w:val="尾注文本 Char"/>
    <w:link w:val="17"/>
    <w:semiHidden/>
    <w:qFormat/>
    <w:uiPriority w:val="99"/>
    <w:rPr>
      <w:rFonts w:ascii="Times New Roman" w:hAnsi="Times New Roman" w:eastAsia="宋体" w:cs="Times New Roman"/>
      <w:kern w:val="2"/>
      <w:sz w:val="21"/>
      <w:szCs w:val="22"/>
      <w:lang w:bidi="ar-SA"/>
    </w:rPr>
  </w:style>
  <w:style w:type="character" w:customStyle="1" w:styleId="49">
    <w:name w:val="批注框文本 Char"/>
    <w:link w:val="18"/>
    <w:semiHidden/>
    <w:qFormat/>
    <w:uiPriority w:val="99"/>
    <w:rPr>
      <w:rFonts w:ascii="Times New Roman" w:hAnsi="Times New Roman" w:eastAsia="宋体" w:cs="Times New Roman"/>
      <w:sz w:val="18"/>
      <w:szCs w:val="18"/>
      <w:lang w:bidi="ar-SA"/>
    </w:rPr>
  </w:style>
  <w:style w:type="character" w:customStyle="1" w:styleId="50">
    <w:name w:val="页脚 Char1"/>
    <w:link w:val="19"/>
    <w:qFormat/>
    <w:uiPriority w:val="99"/>
    <w:rPr>
      <w:rFonts w:ascii="等线" w:hAnsi="等线" w:eastAsia="等线" w:cs="Times New Roman"/>
      <w:sz w:val="18"/>
      <w:szCs w:val="18"/>
      <w:lang w:bidi="ar-SA"/>
    </w:rPr>
  </w:style>
  <w:style w:type="character" w:customStyle="1" w:styleId="51">
    <w:name w:val="页眉 Char"/>
    <w:link w:val="20"/>
    <w:qFormat/>
    <w:uiPriority w:val="99"/>
    <w:rPr>
      <w:kern w:val="2"/>
      <w:sz w:val="18"/>
      <w:szCs w:val="18"/>
      <w:lang w:bidi="ar-SA"/>
    </w:rPr>
  </w:style>
  <w:style w:type="character" w:customStyle="1" w:styleId="52">
    <w:name w:val="脚注文本 Char"/>
    <w:link w:val="23"/>
    <w:semiHidden/>
    <w:qFormat/>
    <w:uiPriority w:val="99"/>
    <w:rPr>
      <w:rFonts w:ascii="Times New Roman" w:hAnsi="Times New Roman" w:eastAsia="宋体" w:cs="Times New Roman"/>
      <w:kern w:val="2"/>
      <w:sz w:val="18"/>
      <w:szCs w:val="18"/>
      <w:lang w:bidi="ar-SA"/>
    </w:rPr>
  </w:style>
  <w:style w:type="character" w:customStyle="1" w:styleId="53">
    <w:name w:val="批注主题 Char"/>
    <w:link w:val="28"/>
    <w:semiHidden/>
    <w:qFormat/>
    <w:uiPriority w:val="99"/>
    <w:rPr>
      <w:rFonts w:ascii="Times New Roman" w:hAnsi="Times New Roman" w:eastAsia="宋体" w:cs="Times New Roman"/>
      <w:b/>
      <w:bCs/>
      <w:szCs w:val="22"/>
      <w:lang w:bidi="ar-SA"/>
    </w:rPr>
  </w:style>
  <w:style w:type="character" w:customStyle="1" w:styleId="54">
    <w:name w:val="标题 1 Char"/>
    <w:qFormat/>
    <w:uiPriority w:val="0"/>
    <w:rPr>
      <w:rFonts w:ascii="Times New Roman" w:hAnsi="Times New Roman" w:eastAsia="宋体" w:cs="Times New Roman"/>
      <w:b/>
      <w:bCs/>
      <w:kern w:val="44"/>
      <w:sz w:val="44"/>
      <w:szCs w:val="44"/>
      <w:lang w:bidi="ar-SA"/>
    </w:rPr>
  </w:style>
  <w:style w:type="paragraph" w:customStyle="1" w:styleId="55">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6">
    <w:name w:val="导则标题2"/>
    <w:basedOn w:val="3"/>
    <w:link w:val="57"/>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7">
    <w:name w:val="导则标题2 Char"/>
    <w:link w:val="56"/>
    <w:qFormat/>
    <w:uiPriority w:val="0"/>
    <w:rPr>
      <w:rFonts w:ascii="黑体" w:hAnsi="黑体" w:eastAsia="黑体" w:cs="Times New Roman"/>
      <w:bCs/>
      <w:sz w:val="24"/>
      <w:szCs w:val="24"/>
      <w:lang w:val="zh-CN" w:eastAsia="zh-CN" w:bidi="ar-SA"/>
    </w:rPr>
  </w:style>
  <w:style w:type="paragraph" w:customStyle="1" w:styleId="58">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9">
    <w:name w:val="正文文本 Char"/>
    <w:semiHidden/>
    <w:qFormat/>
    <w:uiPriority w:val="99"/>
    <w:rPr>
      <w:rFonts w:ascii="Times New Roman" w:hAnsi="Times New Roman" w:eastAsia="宋体" w:cs="Times New Roman"/>
      <w:kern w:val="2"/>
      <w:sz w:val="21"/>
      <w:szCs w:val="22"/>
      <w:lang w:bidi="ar-SA"/>
    </w:rPr>
  </w:style>
  <w:style w:type="paragraph" w:customStyle="1" w:styleId="60">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61">
    <w:name w:val="页脚 Char"/>
    <w:semiHidden/>
    <w:qFormat/>
    <w:uiPriority w:val="99"/>
    <w:rPr>
      <w:rFonts w:ascii="Times New Roman" w:hAnsi="Times New Roman" w:eastAsia="宋体" w:cs="Times New Roman"/>
      <w:kern w:val="2"/>
      <w:sz w:val="18"/>
      <w:szCs w:val="18"/>
      <w:lang w:bidi="ar-SA"/>
    </w:rPr>
  </w:style>
  <w:style w:type="paragraph" w:customStyle="1" w:styleId="6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4">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5">
    <w:name w:val="标题 1 字符"/>
    <w:qFormat/>
    <w:uiPriority w:val="0"/>
    <w:rPr>
      <w:b/>
      <w:bCs/>
      <w:kern w:val="44"/>
      <w:sz w:val="44"/>
      <w:szCs w:val="44"/>
    </w:rPr>
  </w:style>
  <w:style w:type="paragraph" w:customStyle="1" w:styleId="66">
    <w:name w:val="_Style 34"/>
    <w:basedOn w:val="1"/>
    <w:next w:val="67"/>
    <w:qFormat/>
    <w:uiPriority w:val="34"/>
    <w:pPr>
      <w:ind w:firstLine="420" w:firstLineChars="200"/>
    </w:pPr>
    <w:rPr>
      <w:rFonts w:ascii="等线" w:hAnsi="等线" w:eastAsia="等线"/>
    </w:rPr>
  </w:style>
  <w:style w:type="paragraph" w:customStyle="1" w:styleId="67">
    <w:name w:val="列出段落1"/>
    <w:basedOn w:val="1"/>
    <w:qFormat/>
    <w:uiPriority w:val="99"/>
    <w:pPr>
      <w:ind w:firstLine="420" w:firstLineChars="200"/>
    </w:pPr>
  </w:style>
  <w:style w:type="paragraph" w:customStyle="1" w:styleId="68">
    <w:name w:val="_Style 37"/>
    <w:basedOn w:val="1"/>
    <w:next w:val="67"/>
    <w:qFormat/>
    <w:uiPriority w:val="34"/>
    <w:pPr>
      <w:ind w:firstLine="420" w:firstLineChars="200"/>
    </w:pPr>
    <w:rPr>
      <w:rFonts w:ascii="等线" w:hAnsi="等线" w:eastAsia="等线"/>
    </w:rPr>
  </w:style>
  <w:style w:type="paragraph" w:customStyle="1" w:styleId="69">
    <w:name w:val="_Style 38"/>
    <w:basedOn w:val="1"/>
    <w:next w:val="67"/>
    <w:qFormat/>
    <w:uiPriority w:val="34"/>
    <w:pPr>
      <w:ind w:firstLine="420" w:firstLineChars="200"/>
    </w:pPr>
    <w:rPr>
      <w:rFonts w:ascii="等线" w:hAnsi="等线" w:eastAsia="等线"/>
    </w:rPr>
  </w:style>
  <w:style w:type="paragraph" w:customStyle="1" w:styleId="70">
    <w:name w:val="_Style 39"/>
    <w:basedOn w:val="1"/>
    <w:next w:val="67"/>
    <w:qFormat/>
    <w:uiPriority w:val="34"/>
    <w:pPr>
      <w:ind w:firstLine="420" w:firstLineChars="200"/>
    </w:pPr>
    <w:rPr>
      <w:rFonts w:ascii="等线" w:hAnsi="等线" w:eastAsia="等线"/>
    </w:rPr>
  </w:style>
  <w:style w:type="paragraph" w:customStyle="1" w:styleId="71">
    <w:name w:val="_Style 40"/>
    <w:basedOn w:val="1"/>
    <w:next w:val="67"/>
    <w:qFormat/>
    <w:uiPriority w:val="34"/>
    <w:pPr>
      <w:ind w:firstLine="420" w:firstLineChars="200"/>
    </w:pPr>
    <w:rPr>
      <w:rFonts w:ascii="等线" w:hAnsi="等线" w:eastAsia="等线"/>
    </w:rPr>
  </w:style>
  <w:style w:type="character" w:customStyle="1" w:styleId="72">
    <w:name w:val="款 Char Char"/>
    <w:link w:val="73"/>
    <w:qFormat/>
    <w:uiPriority w:val="0"/>
    <w:rPr>
      <w:rFonts w:ascii="Times New Roman" w:hAnsi="Times New Roman" w:eastAsia="黑体" w:cs="宋体"/>
      <w:color w:val="000000"/>
    </w:rPr>
  </w:style>
  <w:style w:type="paragraph" w:customStyle="1" w:styleId="73">
    <w:name w:val="款 Char"/>
    <w:basedOn w:val="1"/>
    <w:link w:val="72"/>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4">
    <w:name w:val="正文文本 字符"/>
    <w:qFormat/>
    <w:uiPriority w:val="1"/>
    <w:rPr>
      <w:rFonts w:ascii="仿宋_GB2312" w:hAnsi="仿宋_GB2312" w:eastAsia="仿宋_GB2312"/>
      <w:kern w:val="0"/>
      <w:sz w:val="30"/>
      <w:szCs w:val="30"/>
      <w:lang w:eastAsia="en-US"/>
    </w:rPr>
  </w:style>
  <w:style w:type="paragraph" w:customStyle="1" w:styleId="75">
    <w:name w:val="Table Paragraph"/>
    <w:basedOn w:val="1"/>
    <w:qFormat/>
    <w:uiPriority w:val="1"/>
    <w:pPr>
      <w:jc w:val="left"/>
    </w:pPr>
    <w:rPr>
      <w:rFonts w:ascii="等线" w:hAnsi="等线" w:eastAsia="等线"/>
      <w:kern w:val="0"/>
      <w:sz w:val="22"/>
      <w:lang w:eastAsia="en-US"/>
    </w:rPr>
  </w:style>
  <w:style w:type="paragraph" w:customStyle="1" w:styleId="76">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7">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8">
    <w:name w:val="Char"/>
    <w:basedOn w:val="1"/>
    <w:qFormat/>
    <w:uiPriority w:val="0"/>
    <w:rPr>
      <w:szCs w:val="20"/>
      <w:lang w:bidi="mn-Mong-CN"/>
    </w:rPr>
  </w:style>
  <w:style w:type="paragraph" w:customStyle="1" w:styleId="79">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80">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81">
    <w:name w:val="标题 2 Char"/>
    <w:qFormat/>
    <w:uiPriority w:val="0"/>
    <w:rPr>
      <w:rFonts w:ascii="楷体_GB2312" w:hAnsi="Times New Roman" w:eastAsia="楷体_GB2312" w:cs="Times New Roman"/>
      <w:kern w:val="2"/>
      <w:sz w:val="32"/>
      <w:szCs w:val="32"/>
    </w:rPr>
  </w:style>
  <w:style w:type="paragraph" w:customStyle="1" w:styleId="82">
    <w:name w:val="_Style 76"/>
    <w:basedOn w:val="1"/>
    <w:next w:val="83"/>
    <w:qFormat/>
    <w:uiPriority w:val="34"/>
    <w:pPr>
      <w:ind w:firstLine="420" w:firstLineChars="200"/>
    </w:pPr>
    <w:rPr>
      <w:rFonts w:ascii="等线" w:hAnsi="等线" w:eastAsia="等线"/>
    </w:rPr>
  </w:style>
  <w:style w:type="paragraph" w:styleId="83">
    <w:name w:val="List Paragraph"/>
    <w:basedOn w:val="1"/>
    <w:qFormat/>
    <w:uiPriority w:val="99"/>
    <w:pPr>
      <w:ind w:firstLine="420" w:firstLineChars="200"/>
    </w:pPr>
  </w:style>
  <w:style w:type="paragraph" w:customStyle="1" w:styleId="84">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5">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6">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7">
    <w:name w:val="Char1"/>
    <w:basedOn w:val="1"/>
    <w:qFormat/>
    <w:uiPriority w:val="0"/>
    <w:rPr>
      <w:szCs w:val="24"/>
    </w:rPr>
  </w:style>
  <w:style w:type="paragraph" w:customStyle="1" w:styleId="8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9">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90">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标题 4 Char"/>
    <w:basedOn w:val="32"/>
    <w:link w:val="5"/>
    <w:qFormat/>
    <w:uiPriority w:val="0"/>
    <w:rPr>
      <w:rFonts w:asciiTheme="majorHAnsi" w:hAnsiTheme="majorHAnsi" w:eastAsiaTheme="majorEastAsia" w:cstheme="majorBidi"/>
      <w:b/>
      <w:bCs/>
      <w:kern w:val="2"/>
      <w:sz w:val="28"/>
      <w:szCs w:val="28"/>
    </w:rPr>
  </w:style>
  <w:style w:type="paragraph" w:customStyle="1" w:styleId="92">
    <w:name w:val="Char2"/>
    <w:basedOn w:val="1"/>
    <w:qFormat/>
    <w:uiPriority w:val="0"/>
    <w:rPr>
      <w:szCs w:val="24"/>
    </w:rPr>
  </w:style>
  <w:style w:type="paragraph" w:customStyle="1" w:styleId="93">
    <w:name w:val="Char3"/>
    <w:basedOn w:val="1"/>
    <w:qFormat/>
    <w:uiPriority w:val="0"/>
    <w:rPr>
      <w:szCs w:val="24"/>
    </w:rPr>
  </w:style>
  <w:style w:type="paragraph" w:customStyle="1" w:styleId="94">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4624</Words>
  <Characters>4856</Characters>
  <Lines>30</Lines>
  <Paragraphs>8</Paragraphs>
  <TotalTime>28</TotalTime>
  <ScaleCrop>false</ScaleCrop>
  <LinksUpToDate>false</LinksUpToDate>
  <CharactersWithSpaces>4936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Friend</cp:lastModifiedBy>
  <cp:lastPrinted>2025-09-08T01:19:00Z</cp:lastPrinted>
  <dcterms:modified xsi:type="dcterms:W3CDTF">2025-09-30T06:23:36Z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531112DE17954491B1E6899318B77B00_13</vt:lpwstr>
  </property>
  <property fmtid="{D5CDD505-2E9C-101B-9397-08002B2CF9AE}" pid="4" name="KSOTemplateDocerSaveRecord">
    <vt:lpwstr>eyJoZGlkIjoiZjg1MWQyYWU1MTYwZjUzNjgxYzQ2NWZmM2QxMjY3N2QiLCJ1c2VySWQiOiIxNzQxNjY5NTAwIn0=</vt:lpwstr>
  </property>
</Properties>
</file>