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FBFAF">
      <w:pPr>
        <w:spacing w:line="360" w:lineRule="exact"/>
        <w:rPr>
          <w:spacing w:val="-5"/>
          <w:szCs w:val="21"/>
        </w:rPr>
      </w:pPr>
      <w:bookmarkStart w:id="0" w:name="_Toc142890354"/>
    </w:p>
    <w:p w14:paraId="71599F0E">
      <w:pPr>
        <w:adjustRightInd w:val="0"/>
        <w:spacing w:line="360" w:lineRule="exact"/>
        <w:jc w:val="center"/>
        <w:rPr>
          <w:rFonts w:hint="eastAsia" w:ascii="宋体" w:hAnsi="宋体" w:eastAsia="宋体" w:cs="Times New Roman"/>
          <w:spacing w:val="-5"/>
          <w:szCs w:val="21"/>
        </w:rPr>
      </w:pPr>
      <w:r>
        <w:rPr>
          <w:rFonts w:hint="eastAsia" w:ascii="宋体" w:hAnsi="宋体" w:eastAsia="宋体" w:cs="Times New Roman"/>
          <w:spacing w:val="-5"/>
          <w:szCs w:val="21"/>
        </w:rPr>
        <w:t>铁岭市生态环境局</w:t>
      </w:r>
    </w:p>
    <w:p w14:paraId="255CF52A">
      <w:pPr>
        <w:adjustRightInd w:val="0"/>
        <w:spacing w:line="360" w:lineRule="exact"/>
        <w:jc w:val="center"/>
        <w:rPr>
          <w:rFonts w:hint="eastAsia" w:ascii="宋体" w:hAnsi="宋体" w:eastAsia="宋体" w:cs="Times New Roman"/>
          <w:spacing w:val="-5"/>
          <w:szCs w:val="21"/>
        </w:rPr>
      </w:pPr>
      <w:r>
        <w:rPr>
          <w:rFonts w:hint="eastAsia" w:ascii="宋体" w:hAnsi="宋体" w:eastAsia="宋体" w:cs="Times New Roman"/>
          <w:spacing w:val="-5"/>
          <w:szCs w:val="21"/>
        </w:rPr>
        <w:t>同意</w:t>
      </w:r>
      <w:r>
        <w:rPr>
          <w:rFonts w:hint="eastAsia" w:ascii="宋体" w:hAnsi="宋体" w:cs="Times New Roman"/>
          <w:spacing w:val="-5"/>
          <w:szCs w:val="21"/>
          <w:lang w:val="en-US" w:eastAsia="zh-CN"/>
        </w:rPr>
        <w:t>铁岭市昌图县污水处理厂（昌图县滨湖新区污水处理厂）</w:t>
      </w:r>
      <w:r>
        <w:rPr>
          <w:rFonts w:hint="eastAsia" w:ascii="宋体" w:hAnsi="宋体" w:eastAsia="宋体" w:cs="Times New Roman"/>
          <w:spacing w:val="-5"/>
          <w:szCs w:val="21"/>
        </w:rPr>
        <w:t>设置</w:t>
      </w:r>
      <w:r>
        <w:rPr>
          <w:rFonts w:hint="eastAsia" w:ascii="宋体" w:hAnsi="宋体" w:eastAsia="宋体" w:cs="Times New Roman"/>
          <w:spacing w:val="-5"/>
          <w:szCs w:val="21"/>
          <w:lang w:val="en-US" w:eastAsia="zh-CN"/>
        </w:rPr>
        <w:t>入河排污口</w:t>
      </w:r>
      <w:r>
        <w:rPr>
          <w:rFonts w:hint="eastAsia" w:ascii="宋体" w:hAnsi="宋体" w:eastAsia="宋体" w:cs="Times New Roman"/>
          <w:spacing w:val="-5"/>
          <w:szCs w:val="21"/>
        </w:rPr>
        <w:t>的决定书</w:t>
      </w:r>
    </w:p>
    <w:p w14:paraId="7065E765">
      <w:pPr>
        <w:adjustRightInd w:val="0"/>
        <w:spacing w:line="360" w:lineRule="exact"/>
        <w:ind w:right="808"/>
        <w:jc w:val="right"/>
        <w:rPr>
          <w:rFonts w:ascii="宋体" w:hAnsi="宋体"/>
          <w:spacing w:val="-4"/>
          <w:szCs w:val="21"/>
        </w:rPr>
      </w:pPr>
      <w:r>
        <w:rPr>
          <w:rFonts w:ascii="宋体" w:hAnsi="宋体"/>
          <w:color w:val="auto"/>
          <w:spacing w:val="-4"/>
          <w:szCs w:val="21"/>
          <w:highlight w:val="none"/>
        </w:rPr>
        <w:t>文书号：</w:t>
      </w:r>
      <w:r>
        <w:rPr>
          <w:rFonts w:hint="eastAsia" w:ascii="宋体" w:hAnsi="宋体"/>
          <w:color w:val="auto"/>
          <w:spacing w:val="-4"/>
          <w:szCs w:val="21"/>
          <w:highlight w:val="none"/>
        </w:rPr>
        <w:t>铁市环审函[2025]</w:t>
      </w:r>
      <w:r>
        <w:rPr>
          <w:rFonts w:hint="eastAsia" w:ascii="宋体" w:hAnsi="宋体"/>
          <w:color w:val="auto"/>
          <w:spacing w:val="-4"/>
          <w:szCs w:val="21"/>
          <w:highlight w:val="none"/>
          <w:lang w:val="en-US" w:eastAsia="zh-CN"/>
        </w:rPr>
        <w:t>77</w:t>
      </w:r>
      <w:r>
        <w:rPr>
          <w:rFonts w:hint="eastAsia" w:ascii="宋体" w:hAnsi="宋体"/>
          <w:color w:val="auto"/>
          <w:spacing w:val="-4"/>
          <w:szCs w:val="21"/>
          <w:highlight w:val="none"/>
        </w:rPr>
        <w:t>号</w:t>
      </w:r>
      <w:r>
        <w:rPr>
          <w:rFonts w:ascii="宋体" w:hAnsi="宋体"/>
          <w:color w:val="auto"/>
          <w:spacing w:val="-4"/>
          <w:szCs w:val="21"/>
          <w:highlight w:val="none"/>
        </w:rPr>
        <w:t xml:space="preserve">    </w:t>
      </w:r>
      <w:r>
        <w:rPr>
          <w:rFonts w:ascii="宋体" w:hAnsi="宋体"/>
          <w:color w:val="FF0000"/>
          <w:spacing w:val="-4"/>
          <w:szCs w:val="21"/>
        </w:rPr>
        <w:t xml:space="preserve"> </w:t>
      </w:r>
      <w:r>
        <w:rPr>
          <w:rFonts w:ascii="宋体" w:hAnsi="宋体"/>
          <w:spacing w:val="-4"/>
          <w:szCs w:val="21"/>
        </w:rPr>
        <w:t xml:space="preserve">    </w:t>
      </w:r>
    </w:p>
    <w:p w14:paraId="7CF533AA">
      <w:pPr>
        <w:adjustRightInd w:val="0"/>
        <w:spacing w:line="360" w:lineRule="exact"/>
        <w:rPr>
          <w:rFonts w:ascii="宋体" w:hAnsi="宋体"/>
          <w:kern w:val="0"/>
          <w:szCs w:val="21"/>
          <w:lang w:val="zh-TW" w:eastAsia="zh-TW"/>
        </w:rPr>
      </w:pPr>
      <w:r>
        <w:rPr>
          <w:rFonts w:hint="eastAsia" w:ascii="宋体" w:hAnsi="宋体"/>
          <w:kern w:val="0"/>
          <w:szCs w:val="21"/>
          <w:lang w:val="zh-TW" w:eastAsia="zh-CN"/>
        </w:rPr>
        <w:t>昌图县住房和城乡建设局</w:t>
      </w:r>
      <w:r>
        <w:rPr>
          <w:rFonts w:ascii="宋体" w:hAnsi="宋体"/>
          <w:kern w:val="0"/>
          <w:szCs w:val="21"/>
          <w:lang w:val="zh-TW" w:eastAsia="zh-TW"/>
        </w:rPr>
        <w:t>：</w:t>
      </w:r>
    </w:p>
    <w:p w14:paraId="0CF577EC">
      <w:pPr>
        <w:pStyle w:val="10"/>
        <w:adjustRightInd w:val="0"/>
        <w:spacing w:before="0" w:line="360" w:lineRule="exact"/>
        <w:ind w:right="107" w:firstLine="600"/>
        <w:jc w:val="both"/>
        <w:rPr>
          <w:rFonts w:ascii="宋体" w:hAnsi="宋体" w:eastAsia="宋体"/>
          <w:spacing w:val="-6"/>
          <w:sz w:val="21"/>
          <w:szCs w:val="21"/>
          <w:lang w:eastAsia="zh-CN"/>
        </w:rPr>
      </w:pPr>
      <w:r>
        <w:rPr>
          <w:rFonts w:ascii="宋体" w:hAnsi="宋体" w:eastAsia="宋体"/>
          <w:spacing w:val="-6"/>
          <w:sz w:val="21"/>
          <w:szCs w:val="21"/>
          <w:lang w:eastAsia="zh-CN"/>
        </w:rPr>
        <w:t>你（单位）</w:t>
      </w:r>
      <w:r>
        <w:rPr>
          <w:rFonts w:ascii="宋体" w:hAnsi="宋体" w:eastAsia="宋体"/>
          <w:color w:val="auto"/>
          <w:spacing w:val="-6"/>
          <w:sz w:val="21"/>
          <w:szCs w:val="21"/>
          <w:highlight w:val="none"/>
          <w:lang w:eastAsia="zh-CN"/>
        </w:rPr>
        <w:t>于</w:t>
      </w:r>
      <w:r>
        <w:rPr>
          <w:rFonts w:hint="eastAsia" w:ascii="宋体" w:hAnsi="宋体" w:eastAsia="宋体"/>
          <w:color w:val="auto"/>
          <w:spacing w:val="-6"/>
          <w:sz w:val="21"/>
          <w:szCs w:val="21"/>
          <w:highlight w:val="none"/>
          <w:lang w:eastAsia="zh-CN"/>
        </w:rPr>
        <w:t>2025</w:t>
      </w:r>
      <w:r>
        <w:rPr>
          <w:rFonts w:ascii="宋体" w:hAnsi="宋体" w:eastAsia="宋体"/>
          <w:color w:val="auto"/>
          <w:spacing w:val="-6"/>
          <w:sz w:val="21"/>
          <w:szCs w:val="21"/>
          <w:highlight w:val="none"/>
          <w:lang w:eastAsia="zh-CN"/>
        </w:rPr>
        <w:t>年</w:t>
      </w:r>
      <w:r>
        <w:rPr>
          <w:rFonts w:hint="eastAsia" w:ascii="宋体" w:hAnsi="宋体" w:eastAsia="宋体"/>
          <w:color w:val="auto"/>
          <w:spacing w:val="-6"/>
          <w:sz w:val="21"/>
          <w:szCs w:val="21"/>
          <w:highlight w:val="none"/>
          <w:lang w:val="en-US" w:eastAsia="zh-CN"/>
        </w:rPr>
        <w:t>8</w:t>
      </w:r>
      <w:r>
        <w:rPr>
          <w:rFonts w:hint="eastAsia" w:ascii="宋体" w:hAnsi="宋体" w:eastAsia="宋体"/>
          <w:color w:val="auto"/>
          <w:spacing w:val="-6"/>
          <w:sz w:val="21"/>
          <w:szCs w:val="21"/>
          <w:highlight w:val="none"/>
          <w:lang w:eastAsia="zh-CN"/>
        </w:rPr>
        <w:t>月</w:t>
      </w:r>
      <w:r>
        <w:rPr>
          <w:rFonts w:hint="eastAsia" w:ascii="宋体" w:hAnsi="宋体" w:eastAsia="宋体"/>
          <w:color w:val="auto"/>
          <w:spacing w:val="-6"/>
          <w:sz w:val="21"/>
          <w:szCs w:val="21"/>
          <w:highlight w:val="none"/>
          <w:lang w:val="en-US" w:eastAsia="zh-CN"/>
        </w:rPr>
        <w:t>12</w:t>
      </w:r>
      <w:r>
        <w:rPr>
          <w:rFonts w:hint="eastAsia" w:ascii="宋体" w:hAnsi="宋体" w:eastAsia="宋体"/>
          <w:color w:val="auto"/>
          <w:spacing w:val="-6"/>
          <w:sz w:val="21"/>
          <w:szCs w:val="21"/>
          <w:highlight w:val="none"/>
          <w:lang w:eastAsia="zh-CN"/>
        </w:rPr>
        <w:t>日</w:t>
      </w:r>
      <w:r>
        <w:rPr>
          <w:rFonts w:ascii="宋体" w:hAnsi="宋体" w:eastAsia="宋体"/>
          <w:spacing w:val="-6"/>
          <w:sz w:val="21"/>
          <w:szCs w:val="21"/>
          <w:lang w:eastAsia="zh-CN"/>
        </w:rPr>
        <w:t>向我部门提出了</w:t>
      </w:r>
      <w:r>
        <w:rPr>
          <w:rFonts w:hint="eastAsia" w:ascii="宋体" w:hAnsi="宋体" w:eastAsia="宋体" w:cs="Times New Roman"/>
          <w:spacing w:val="-5"/>
          <w:sz w:val="21"/>
          <w:szCs w:val="21"/>
          <w:lang w:val="en-US" w:eastAsia="zh-CN"/>
        </w:rPr>
        <w:t>铁岭市昌图县污水处理厂（昌图县滨湖新区污水处理厂）</w:t>
      </w:r>
      <w:r>
        <w:rPr>
          <w:rFonts w:hint="eastAsia" w:ascii="宋体" w:hAnsi="宋体" w:eastAsia="宋体"/>
          <w:spacing w:val="-6"/>
          <w:sz w:val="21"/>
          <w:szCs w:val="21"/>
          <w:lang w:eastAsia="zh-CN"/>
        </w:rPr>
        <w:t>入河排污口</w:t>
      </w:r>
      <w:r>
        <w:rPr>
          <w:rFonts w:ascii="宋体" w:hAnsi="宋体" w:eastAsia="宋体"/>
          <w:spacing w:val="-6"/>
          <w:sz w:val="21"/>
          <w:szCs w:val="21"/>
          <w:lang w:eastAsia="zh-CN"/>
        </w:rPr>
        <w:t>设置申请。</w:t>
      </w:r>
      <w:r>
        <w:rPr>
          <w:rFonts w:hint="eastAsia" w:ascii="宋体" w:hAnsi="宋体" w:eastAsia="宋体"/>
          <w:spacing w:val="-6"/>
          <w:sz w:val="21"/>
          <w:szCs w:val="21"/>
          <w:lang w:eastAsia="zh-CN"/>
        </w:rPr>
        <w:t>经审查，</w:t>
      </w:r>
      <w:r>
        <w:rPr>
          <w:rFonts w:ascii="宋体" w:hAnsi="宋体" w:eastAsia="宋体"/>
          <w:spacing w:val="-6"/>
          <w:sz w:val="21"/>
          <w:szCs w:val="21"/>
          <w:lang w:eastAsia="zh-CN"/>
        </w:rPr>
        <w:t>根据《中华人民共和国行政许可法》</w:t>
      </w:r>
      <w:r>
        <w:rPr>
          <w:rFonts w:hint="eastAsia" w:ascii="宋体" w:hAnsi="宋体" w:eastAsia="宋体"/>
          <w:spacing w:val="-6"/>
          <w:sz w:val="21"/>
          <w:szCs w:val="21"/>
          <w:lang w:eastAsia="zh-CN"/>
        </w:rPr>
        <w:t>《入河排污口监督管理办法》（生态环境部令第3</w:t>
      </w:r>
      <w:r>
        <w:rPr>
          <w:rFonts w:ascii="宋体" w:hAnsi="宋体" w:eastAsia="宋体"/>
          <w:spacing w:val="-6"/>
          <w:sz w:val="21"/>
          <w:szCs w:val="21"/>
          <w:lang w:eastAsia="zh-CN"/>
        </w:rPr>
        <w:t>5</w:t>
      </w:r>
      <w:r>
        <w:rPr>
          <w:rFonts w:hint="eastAsia" w:ascii="宋体" w:hAnsi="宋体" w:eastAsia="宋体"/>
          <w:spacing w:val="-6"/>
          <w:sz w:val="21"/>
          <w:szCs w:val="21"/>
          <w:lang w:eastAsia="zh-CN"/>
        </w:rPr>
        <w:t>号）</w:t>
      </w:r>
      <w:r>
        <w:rPr>
          <w:rFonts w:ascii="宋体" w:hAnsi="宋体" w:eastAsia="宋体"/>
          <w:spacing w:val="-6"/>
          <w:sz w:val="21"/>
          <w:szCs w:val="21"/>
          <w:lang w:eastAsia="zh-CN"/>
        </w:rPr>
        <w:t>的规定，</w:t>
      </w:r>
      <w:r>
        <w:rPr>
          <w:rFonts w:hint="eastAsia" w:ascii="宋体" w:hAnsi="宋体" w:eastAsia="宋体"/>
          <w:spacing w:val="-6"/>
          <w:sz w:val="21"/>
          <w:szCs w:val="21"/>
          <w:lang w:eastAsia="zh-CN"/>
        </w:rPr>
        <w:t>同意</w:t>
      </w:r>
      <w:r>
        <w:rPr>
          <w:rFonts w:hint="eastAsia" w:ascii="宋体" w:hAnsi="宋体" w:eastAsia="宋体" w:cs="Times New Roman"/>
          <w:spacing w:val="-5"/>
          <w:sz w:val="21"/>
          <w:szCs w:val="21"/>
          <w:lang w:val="en-US" w:eastAsia="zh-CN"/>
        </w:rPr>
        <w:t>铁岭市昌图县污水处理厂（昌图县滨湖新区污水处理厂）</w:t>
      </w:r>
      <w:r>
        <w:rPr>
          <w:rFonts w:hint="eastAsia" w:ascii="宋体" w:hAnsi="宋体" w:eastAsia="宋体"/>
          <w:spacing w:val="-6"/>
          <w:sz w:val="21"/>
          <w:szCs w:val="21"/>
          <w:lang w:eastAsia="zh-CN"/>
        </w:rPr>
        <w:t>入河排污口</w:t>
      </w:r>
      <w:r>
        <w:rPr>
          <w:rFonts w:ascii="宋体" w:hAnsi="宋体" w:eastAsia="宋体"/>
          <w:spacing w:val="-6"/>
          <w:sz w:val="21"/>
          <w:szCs w:val="21"/>
          <w:lang w:eastAsia="zh-CN"/>
        </w:rPr>
        <w:t>设置决定如下：</w:t>
      </w:r>
    </w:p>
    <w:tbl>
      <w:tblPr>
        <w:tblStyle w:val="30"/>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259"/>
        <w:gridCol w:w="725"/>
        <w:gridCol w:w="426"/>
        <w:gridCol w:w="1321"/>
        <w:gridCol w:w="1231"/>
        <w:gridCol w:w="1153"/>
      </w:tblGrid>
      <w:tr w14:paraId="6F65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830" w:type="dxa"/>
            <w:vAlign w:val="center"/>
          </w:tcPr>
          <w:p w14:paraId="75E9AEC6">
            <w:pPr>
              <w:pStyle w:val="10"/>
              <w:spacing w:before="0" w:line="360" w:lineRule="exact"/>
              <w:ind w:left="0"/>
              <w:jc w:val="center"/>
              <w:rPr>
                <w:rFonts w:ascii="Times New Roman" w:hAnsi="Times New Roman" w:eastAsia="宋体"/>
                <w:color w:val="auto"/>
                <w:kern w:val="2"/>
                <w:sz w:val="21"/>
                <w:szCs w:val="21"/>
                <w:lang w:eastAsia="zh-CN"/>
              </w:rPr>
            </w:pPr>
            <w:r>
              <w:rPr>
                <w:rFonts w:ascii="Times New Roman" w:hAnsi="Times New Roman"/>
                <w:color w:val="auto"/>
                <w:szCs w:val="21"/>
                <w:lang w:eastAsia="zh-CN"/>
              </w:rPr>
              <w:br w:type="page"/>
            </w:r>
            <w:r>
              <w:rPr>
                <w:rFonts w:hint="eastAsia" w:ascii="Times New Roman" w:hAnsi="Times New Roman" w:eastAsia="宋体"/>
                <w:color w:val="auto"/>
                <w:kern w:val="2"/>
                <w:sz w:val="21"/>
                <w:szCs w:val="21"/>
                <w:lang w:eastAsia="zh-CN"/>
              </w:rPr>
              <w:t>入河排污口类型</w:t>
            </w:r>
          </w:p>
        </w:tc>
        <w:tc>
          <w:tcPr>
            <w:tcW w:w="6115" w:type="dxa"/>
            <w:gridSpan w:val="6"/>
            <w:vAlign w:val="center"/>
          </w:tcPr>
          <w:p w14:paraId="06186797">
            <w:pPr>
              <w:widowControl/>
              <w:spacing w:line="360" w:lineRule="exact"/>
              <w:rPr>
                <w:color w:val="auto"/>
              </w:rPr>
            </w:pPr>
            <w:r>
              <w:rPr>
                <w:rFonts w:hint="eastAsia"/>
                <w:color w:val="auto"/>
                <w:szCs w:val="20"/>
              </w:rPr>
              <w:sym w:font="Wingdings" w:char="00A8"/>
            </w:r>
            <w:r>
              <w:rPr>
                <w:rFonts w:hint="eastAsia"/>
                <w:color w:val="auto"/>
              </w:rPr>
              <w:t>工矿企业入河排污口</w:t>
            </w:r>
          </w:p>
          <w:p w14:paraId="5F77FECD">
            <w:pPr>
              <w:widowControl/>
              <w:spacing w:line="360" w:lineRule="exact"/>
              <w:rPr>
                <w:color w:val="auto"/>
              </w:rPr>
            </w:pPr>
            <w:bookmarkStart w:id="1" w:name="OLE_LINK1"/>
            <w:bookmarkStart w:id="2" w:name="OLE_LINK2"/>
            <w:r>
              <w:rPr>
                <w:color w:val="auto"/>
                <w:szCs w:val="20"/>
              </w:rPr>
              <w:sym w:font="Wingdings 2" w:char="00A3"/>
            </w:r>
            <w:bookmarkEnd w:id="1"/>
            <w:bookmarkEnd w:id="2"/>
            <w:r>
              <w:rPr>
                <w:rFonts w:hint="eastAsia"/>
                <w:color w:val="auto"/>
              </w:rPr>
              <w:t>工业及其他各类园区污水处理厂入河排污口</w:t>
            </w:r>
          </w:p>
          <w:p w14:paraId="6D5386D9">
            <w:pPr>
              <w:widowControl/>
              <w:spacing w:line="360" w:lineRule="exact"/>
              <w:rPr>
                <w:color w:val="auto"/>
              </w:rPr>
            </w:pPr>
            <w:r>
              <w:rPr>
                <w:color w:val="auto"/>
                <w:szCs w:val="20"/>
              </w:rPr>
              <w:sym w:font="Wingdings 2" w:char="0052"/>
            </w:r>
            <w:r>
              <w:rPr>
                <w:rFonts w:hint="eastAsia"/>
                <w:color w:val="auto"/>
              </w:rPr>
              <w:t>城镇污水处理厂入河排污口</w:t>
            </w:r>
          </w:p>
          <w:p w14:paraId="4CCE1A0B">
            <w:pPr>
              <w:widowControl/>
              <w:spacing w:line="360" w:lineRule="exact"/>
              <w:rPr>
                <w:color w:val="auto"/>
              </w:rPr>
            </w:pPr>
            <w:r>
              <w:rPr>
                <w:color w:val="auto"/>
                <w:szCs w:val="20"/>
              </w:rPr>
              <w:sym w:font="Wingdings 2" w:char="00A3"/>
            </w:r>
            <w:r>
              <w:rPr>
                <w:rFonts w:hint="eastAsia"/>
                <w:color w:val="auto"/>
                <w:szCs w:val="20"/>
              </w:rPr>
              <w:t>其他参照上述管理的入河排污口_</w:t>
            </w:r>
            <w:r>
              <w:rPr>
                <w:color w:val="auto"/>
                <w:szCs w:val="20"/>
              </w:rPr>
              <w:t>______________</w:t>
            </w:r>
          </w:p>
        </w:tc>
      </w:tr>
      <w:tr w14:paraId="1422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202D8442">
            <w:pPr>
              <w:widowControl/>
              <w:spacing w:line="360" w:lineRule="exact"/>
              <w:jc w:val="center"/>
              <w:rPr>
                <w:color w:val="auto"/>
                <w:szCs w:val="21"/>
              </w:rPr>
            </w:pPr>
            <w:r>
              <w:rPr>
                <w:rFonts w:hint="eastAsia"/>
                <w:color w:val="auto"/>
                <w:szCs w:val="21"/>
              </w:rPr>
              <w:t>入河排污口名称</w:t>
            </w:r>
          </w:p>
        </w:tc>
        <w:tc>
          <w:tcPr>
            <w:tcW w:w="6115" w:type="dxa"/>
            <w:gridSpan w:val="6"/>
            <w:vAlign w:val="center"/>
          </w:tcPr>
          <w:p w14:paraId="5F5D1026">
            <w:pPr>
              <w:widowControl/>
              <w:spacing w:line="360" w:lineRule="exact"/>
              <w:rPr>
                <w:color w:val="auto"/>
                <w:szCs w:val="20"/>
              </w:rPr>
            </w:pPr>
            <w:r>
              <w:rPr>
                <w:rFonts w:hint="eastAsia"/>
                <w:color w:val="auto"/>
                <w:szCs w:val="20"/>
                <w:lang w:eastAsia="zh-CN"/>
              </w:rPr>
              <w:t>铁岭市昌图县污水处理厂（昌图县滨湖新区污水处理厂）</w:t>
            </w:r>
            <w:r>
              <w:rPr>
                <w:rFonts w:hint="eastAsia"/>
                <w:color w:val="auto"/>
                <w:szCs w:val="20"/>
              </w:rPr>
              <w:t>入河排污口</w:t>
            </w:r>
          </w:p>
        </w:tc>
      </w:tr>
      <w:tr w14:paraId="4827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3A4915B6">
            <w:pPr>
              <w:widowControl/>
              <w:spacing w:line="360" w:lineRule="exact"/>
              <w:jc w:val="center"/>
              <w:rPr>
                <w:color w:val="auto"/>
                <w:szCs w:val="21"/>
                <w:highlight w:val="yellow"/>
              </w:rPr>
            </w:pPr>
            <w:r>
              <w:rPr>
                <w:rFonts w:hint="eastAsia"/>
                <w:color w:val="auto"/>
                <w:szCs w:val="21"/>
                <w:highlight w:val="none"/>
              </w:rPr>
              <w:t>入河排污口编码</w:t>
            </w:r>
          </w:p>
        </w:tc>
        <w:tc>
          <w:tcPr>
            <w:tcW w:w="6115" w:type="dxa"/>
            <w:gridSpan w:val="6"/>
            <w:vAlign w:val="center"/>
          </w:tcPr>
          <w:p w14:paraId="4C45FE95">
            <w:pPr>
              <w:rPr>
                <w:rFonts w:hint="default" w:eastAsia="宋体"/>
                <w:color w:val="auto"/>
                <w:szCs w:val="20"/>
                <w:highlight w:val="yellow"/>
                <w:lang w:val="en-US" w:eastAsia="zh-CN"/>
              </w:rPr>
            </w:pPr>
          </w:p>
        </w:tc>
      </w:tr>
      <w:tr w14:paraId="21B3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30" w:type="dxa"/>
            <w:vAlign w:val="center"/>
          </w:tcPr>
          <w:p w14:paraId="05459793">
            <w:pPr>
              <w:widowControl/>
              <w:spacing w:line="360" w:lineRule="exact"/>
              <w:jc w:val="center"/>
              <w:rPr>
                <w:color w:val="auto"/>
                <w:szCs w:val="21"/>
              </w:rPr>
            </w:pPr>
            <w:r>
              <w:rPr>
                <w:rFonts w:hint="eastAsia"/>
                <w:color w:val="auto"/>
                <w:szCs w:val="21"/>
              </w:rPr>
              <w:t>设置类型</w:t>
            </w:r>
          </w:p>
        </w:tc>
        <w:tc>
          <w:tcPr>
            <w:tcW w:w="6115" w:type="dxa"/>
            <w:gridSpan w:val="6"/>
            <w:vAlign w:val="center"/>
          </w:tcPr>
          <w:p w14:paraId="220D78DA">
            <w:pPr>
              <w:widowControl/>
              <w:spacing w:line="360" w:lineRule="exact"/>
              <w:rPr>
                <w:color w:val="auto"/>
                <w:szCs w:val="20"/>
              </w:rPr>
            </w:pPr>
            <w:r>
              <w:rPr>
                <w:color w:val="auto"/>
                <w:szCs w:val="20"/>
              </w:rPr>
              <w:sym w:font="Wingdings 2" w:char="0052"/>
            </w:r>
            <w:r>
              <w:rPr>
                <w:rFonts w:hint="eastAsia"/>
                <w:color w:val="auto"/>
                <w:szCs w:val="21"/>
              </w:rPr>
              <w:t>新设</w:t>
            </w:r>
            <w:r>
              <w:rPr>
                <w:rFonts w:hint="eastAsia"/>
                <w:color w:val="auto"/>
                <w:szCs w:val="21"/>
                <w:lang w:val="en-US" w:eastAsia="zh-CN"/>
              </w:rPr>
              <w:t>（现有）</w:t>
            </w:r>
            <w:r>
              <w:rPr>
                <w:color w:val="auto"/>
                <w:szCs w:val="20"/>
              </w:rPr>
              <w:t xml:space="preserve">  </w:t>
            </w:r>
            <w:r>
              <w:rPr>
                <w:color w:val="auto"/>
                <w:szCs w:val="20"/>
              </w:rPr>
              <w:sym w:font="Wingdings 2" w:char="00A3"/>
            </w:r>
            <w:r>
              <w:rPr>
                <w:rFonts w:hint="eastAsia"/>
                <w:color w:val="auto"/>
                <w:szCs w:val="21"/>
              </w:rPr>
              <w:t>改设</w:t>
            </w:r>
            <w:r>
              <w:rPr>
                <w:color w:val="auto"/>
                <w:szCs w:val="20"/>
              </w:rPr>
              <w:t xml:space="preserve">  </w:t>
            </w:r>
            <w:r>
              <w:rPr>
                <w:rFonts w:hint="eastAsia"/>
                <w:color w:val="auto"/>
                <w:szCs w:val="21"/>
              </w:rPr>
              <w:sym w:font="Wingdings" w:char="00A8"/>
            </w:r>
            <w:r>
              <w:rPr>
                <w:rFonts w:hint="eastAsia"/>
                <w:color w:val="auto"/>
                <w:szCs w:val="21"/>
              </w:rPr>
              <w:t>扩大</w:t>
            </w:r>
            <w:r>
              <w:rPr>
                <w:color w:val="auto"/>
                <w:szCs w:val="20"/>
              </w:rPr>
              <w:t xml:space="preserve"> </w:t>
            </w:r>
            <w:r>
              <w:rPr>
                <w:rFonts w:hint="eastAsia"/>
                <w:color w:val="auto"/>
                <w:szCs w:val="20"/>
              </w:rPr>
              <w:t xml:space="preserve"> </w:t>
            </w:r>
          </w:p>
        </w:tc>
      </w:tr>
      <w:tr w14:paraId="1AE1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945" w:type="dxa"/>
            <w:gridSpan w:val="7"/>
            <w:vAlign w:val="center"/>
          </w:tcPr>
          <w:p w14:paraId="47E4B157">
            <w:pPr>
              <w:widowControl/>
              <w:spacing w:line="360" w:lineRule="exact"/>
              <w:rPr>
                <w:color w:val="auto"/>
                <w:szCs w:val="20"/>
              </w:rPr>
            </w:pPr>
            <w:r>
              <w:rPr>
                <w:rFonts w:hint="eastAsia"/>
                <w:color w:val="auto"/>
                <w:szCs w:val="20"/>
              </w:rPr>
              <w:t>责任主体基本情况</w:t>
            </w:r>
          </w:p>
        </w:tc>
      </w:tr>
      <w:tr w14:paraId="5210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945" w:type="dxa"/>
            <w:gridSpan w:val="7"/>
            <w:vAlign w:val="center"/>
          </w:tcPr>
          <w:p w14:paraId="2240AA8C">
            <w:pPr>
              <w:widowControl/>
              <w:spacing w:line="360" w:lineRule="exact"/>
              <w:rPr>
                <w:rFonts w:hint="eastAsia" w:eastAsia="宋体"/>
                <w:color w:val="auto"/>
                <w:kern w:val="0"/>
                <w:szCs w:val="21"/>
                <w:lang w:eastAsia="zh-CN"/>
              </w:rPr>
            </w:pPr>
            <w:r>
              <w:rPr>
                <w:rFonts w:hint="eastAsia"/>
                <w:color w:val="auto"/>
                <w:kern w:val="0"/>
                <w:szCs w:val="21"/>
              </w:rPr>
              <w:t>责任主体</w:t>
            </w:r>
            <w:r>
              <w:rPr>
                <w:rFonts w:hint="eastAsia"/>
                <w:color w:val="auto"/>
                <w:kern w:val="0"/>
                <w:szCs w:val="21"/>
                <w:lang w:val="en-US" w:eastAsia="zh-CN"/>
              </w:rPr>
              <w:t>1</w:t>
            </w:r>
            <w:r>
              <w:rPr>
                <w:rFonts w:hint="eastAsia"/>
                <w:color w:val="auto"/>
                <w:kern w:val="0"/>
                <w:szCs w:val="21"/>
              </w:rPr>
              <w:t>名称：</w:t>
            </w:r>
            <w:r>
              <w:rPr>
                <w:rFonts w:hint="eastAsia"/>
                <w:color w:val="auto"/>
                <w:kern w:val="0"/>
                <w:szCs w:val="21"/>
                <w:lang w:eastAsia="zh-CN"/>
              </w:rPr>
              <w:t>昌图县住房和城乡建设局</w:t>
            </w:r>
          </w:p>
        </w:tc>
      </w:tr>
      <w:tr w14:paraId="2A0F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830" w:type="dxa"/>
            <w:vAlign w:val="center"/>
          </w:tcPr>
          <w:p w14:paraId="751EBA8E">
            <w:pPr>
              <w:widowControl/>
              <w:spacing w:line="360" w:lineRule="exact"/>
              <w:jc w:val="center"/>
              <w:rPr>
                <w:color w:val="auto"/>
                <w:kern w:val="0"/>
                <w:szCs w:val="21"/>
              </w:rPr>
            </w:pPr>
            <w:r>
              <w:rPr>
                <w:rFonts w:hint="eastAsia"/>
                <w:color w:val="000000" w:themeColor="text1"/>
                <w:kern w:val="0"/>
                <w:szCs w:val="21"/>
                <w14:textFill>
                  <w14:solidFill>
                    <w14:schemeClr w14:val="tx1"/>
                  </w14:solidFill>
                </w14:textFill>
              </w:rPr>
              <w:t>详细地址</w:t>
            </w:r>
          </w:p>
        </w:tc>
        <w:tc>
          <w:tcPr>
            <w:tcW w:w="6115" w:type="dxa"/>
            <w:gridSpan w:val="6"/>
            <w:vAlign w:val="center"/>
          </w:tcPr>
          <w:p w14:paraId="454E1998">
            <w:pPr>
              <w:widowControl/>
              <w:spacing w:line="360" w:lineRule="exact"/>
              <w:rPr>
                <w:color w:val="auto"/>
                <w:kern w:val="0"/>
                <w:szCs w:val="21"/>
              </w:rPr>
            </w:pPr>
            <w:r>
              <w:rPr>
                <w:rFonts w:hint="eastAsia"/>
                <w:color w:val="000000" w:themeColor="text1"/>
                <w:szCs w:val="21"/>
                <w14:textFill>
                  <w14:solidFill>
                    <w14:schemeClr w14:val="tx1"/>
                  </w14:solidFill>
                </w14:textFill>
              </w:rPr>
              <w:t>所在行政区域：</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辽宁</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省（自治区、直辖市）</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铁岭</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市（州、盟）</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昌图</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县（区、旗）</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昌图镇</w:t>
            </w:r>
            <w:r>
              <w:rPr>
                <w:rFonts w:hint="eastAsia"/>
                <w:color w:val="000000" w:themeColor="text1"/>
                <w:szCs w:val="21"/>
                <w14:textFill>
                  <w14:solidFill>
                    <w14:schemeClr w14:val="tx1"/>
                  </w14:solidFill>
                </w14:textFill>
              </w:rPr>
              <w:t>（乡</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镇、街道）</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政府大路16号</w:t>
            </w:r>
            <w:r>
              <w:rPr>
                <w:color w:val="000000" w:themeColor="text1"/>
                <w:szCs w:val="21"/>
                <w:u w:val="single"/>
                <w14:textFill>
                  <w14:solidFill>
                    <w14:schemeClr w14:val="tx1"/>
                  </w14:solidFill>
                </w14:textFill>
              </w:rPr>
              <w:t xml:space="preserve"> </w:t>
            </w:r>
          </w:p>
        </w:tc>
      </w:tr>
      <w:tr w14:paraId="79F1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830" w:type="dxa"/>
            <w:vAlign w:val="center"/>
          </w:tcPr>
          <w:p w14:paraId="661751C1">
            <w:pPr>
              <w:widowControl/>
              <w:spacing w:line="360" w:lineRule="exact"/>
              <w:jc w:val="center"/>
              <w:rPr>
                <w:color w:val="auto"/>
                <w:szCs w:val="21"/>
              </w:rPr>
            </w:pPr>
            <w:r>
              <w:rPr>
                <w:rFonts w:hint="eastAsia"/>
                <w:color w:val="000000" w:themeColor="text1"/>
                <w:szCs w:val="21"/>
                <w14:textFill>
                  <w14:solidFill>
                    <w14:schemeClr w14:val="tx1"/>
                  </w14:solidFill>
                </w14:textFill>
              </w:rPr>
              <w:t>统一社会信用代码</w:t>
            </w:r>
          </w:p>
        </w:tc>
        <w:tc>
          <w:tcPr>
            <w:tcW w:w="6115" w:type="dxa"/>
            <w:gridSpan w:val="6"/>
            <w:vAlign w:val="center"/>
          </w:tcPr>
          <w:p w14:paraId="24FD4873">
            <w:pPr>
              <w:widowControl/>
              <w:spacing w:line="360" w:lineRule="exact"/>
              <w:rPr>
                <w:color w:val="auto"/>
              </w:rPr>
            </w:pPr>
            <w:r>
              <w:rPr>
                <w:rFonts w:hint="eastAsia"/>
                <w:color w:val="auto"/>
                <w:lang w:val="en-US" w:eastAsia="zh-CN"/>
              </w:rPr>
              <w:t>11211224001196244J</w:t>
            </w:r>
          </w:p>
        </w:tc>
      </w:tr>
      <w:tr w14:paraId="6657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16BD72BD">
            <w:pPr>
              <w:widowControl/>
              <w:spacing w:line="360" w:lineRule="exact"/>
              <w:jc w:val="center"/>
              <w:rPr>
                <w:color w:val="auto"/>
                <w:szCs w:val="21"/>
              </w:rPr>
            </w:pPr>
            <w:r>
              <w:rPr>
                <w:rFonts w:hint="eastAsia"/>
                <w:color w:val="000000" w:themeColor="text1"/>
                <w:szCs w:val="21"/>
                <w14:textFill>
                  <w14:solidFill>
                    <w14:schemeClr w14:val="tx1"/>
                  </w14:solidFill>
                </w14:textFill>
              </w:rPr>
              <w:t>法定代表人及联系电话</w:t>
            </w:r>
          </w:p>
        </w:tc>
        <w:tc>
          <w:tcPr>
            <w:tcW w:w="6115" w:type="dxa"/>
            <w:gridSpan w:val="6"/>
            <w:vAlign w:val="center"/>
          </w:tcPr>
          <w:p w14:paraId="226D95BB">
            <w:pPr>
              <w:widowControl/>
              <w:spacing w:line="360" w:lineRule="exact"/>
              <w:rPr>
                <w:color w:val="auto"/>
              </w:rPr>
            </w:pPr>
            <w:r>
              <w:rPr>
                <w:rFonts w:hint="eastAsia"/>
                <w:color w:val="000000" w:themeColor="text1"/>
                <w14:textFill>
                  <w14:solidFill>
                    <w14:schemeClr w14:val="tx1"/>
                  </w14:solidFill>
                </w14:textFill>
              </w:rPr>
              <w:t>姓名：</w:t>
            </w:r>
            <w:r>
              <w:rPr>
                <w:rFonts w:hint="eastAsia"/>
                <w:color w:val="000000" w:themeColor="text1"/>
                <w:lang w:val="en-US" w:eastAsia="zh-CN"/>
                <w14:textFill>
                  <w14:solidFill>
                    <w14:schemeClr w14:val="tx1"/>
                  </w14:solidFill>
                </w14:textFill>
              </w:rPr>
              <w:t>邢宇</w:t>
            </w:r>
            <w:r>
              <w:rPr>
                <w:color w:val="000000" w:themeColor="text1"/>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联系电话：15841045211</w:t>
            </w:r>
            <w:r>
              <w:rPr>
                <w:color w:val="000000" w:themeColor="text1"/>
                <w:szCs w:val="21"/>
                <w:highlight w:val="none"/>
                <w14:textFill>
                  <w14:solidFill>
                    <w14:schemeClr w14:val="tx1"/>
                  </w14:solidFill>
                </w14:textFill>
              </w:rPr>
              <w:t xml:space="preserve">  </w:t>
            </w:r>
          </w:p>
        </w:tc>
      </w:tr>
      <w:tr w14:paraId="7FBE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73F19CC0">
            <w:pPr>
              <w:widowControl/>
              <w:spacing w:line="360" w:lineRule="exact"/>
              <w:jc w:val="center"/>
              <w:rPr>
                <w:color w:val="auto"/>
                <w:szCs w:val="21"/>
              </w:rPr>
            </w:pPr>
            <w:r>
              <w:rPr>
                <w:rFonts w:hint="eastAsia"/>
                <w:color w:val="000000" w:themeColor="text1"/>
                <w:szCs w:val="21"/>
                <w14:textFill>
                  <w14:solidFill>
                    <w14:schemeClr w14:val="tx1"/>
                  </w14:solidFill>
                </w14:textFill>
              </w:rPr>
              <w:t>行业类别</w:t>
            </w:r>
          </w:p>
        </w:tc>
        <w:tc>
          <w:tcPr>
            <w:tcW w:w="6115" w:type="dxa"/>
            <w:gridSpan w:val="6"/>
            <w:vAlign w:val="center"/>
          </w:tcPr>
          <w:p w14:paraId="1D960BA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color w:val="auto"/>
                <w:lang w:val="en-US"/>
              </w:rPr>
            </w:pPr>
            <w:r>
              <w:rPr>
                <w:rFonts w:hint="eastAsia"/>
                <w:color w:val="000000" w:themeColor="text1"/>
                <w:szCs w:val="21"/>
                <w:lang w:val="en-US" w:eastAsia="zh-CN"/>
                <w14:textFill>
                  <w14:solidFill>
                    <w14:schemeClr w14:val="tx1"/>
                  </w14:solidFill>
                </w14:textFill>
              </w:rPr>
              <w:t>D4620污水处理及再生利用</w:t>
            </w:r>
          </w:p>
        </w:tc>
      </w:tr>
      <w:tr w14:paraId="2D0E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30" w:type="dxa"/>
            <w:vAlign w:val="center"/>
          </w:tcPr>
          <w:p w14:paraId="12199A30">
            <w:pPr>
              <w:widowControl/>
              <w:spacing w:line="360" w:lineRule="exact"/>
              <w:jc w:val="center"/>
              <w:rPr>
                <w:color w:val="auto"/>
                <w:szCs w:val="21"/>
              </w:rPr>
            </w:pPr>
            <w:r>
              <w:rPr>
                <w:rFonts w:hint="eastAsia"/>
                <w:color w:val="auto"/>
                <w:szCs w:val="20"/>
              </w:rPr>
              <w:t>排污许可证或排污登记编号</w:t>
            </w:r>
          </w:p>
        </w:tc>
        <w:tc>
          <w:tcPr>
            <w:tcW w:w="6115" w:type="dxa"/>
            <w:gridSpan w:val="6"/>
            <w:vAlign w:val="center"/>
          </w:tcPr>
          <w:p w14:paraId="3B682051">
            <w:pPr>
              <w:widowControl/>
              <w:spacing w:line="360" w:lineRule="exact"/>
              <w:rPr>
                <w:rFonts w:hint="eastAsia" w:eastAsia="宋体"/>
                <w:color w:val="auto"/>
                <w:lang w:val="en-US" w:eastAsia="zh-CN"/>
              </w:rPr>
            </w:pPr>
            <w:r>
              <w:rPr>
                <w:rFonts w:hint="eastAsia" w:eastAsia="宋体"/>
                <w:color w:val="auto"/>
                <w:lang w:val="en-US" w:eastAsia="zh-CN"/>
              </w:rPr>
              <w:t>912112246768674133001V</w:t>
            </w:r>
          </w:p>
        </w:tc>
      </w:tr>
      <w:tr w14:paraId="76F1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830" w:type="dxa"/>
            <w:vMerge w:val="restart"/>
            <w:vAlign w:val="center"/>
          </w:tcPr>
          <w:p w14:paraId="35B2B584">
            <w:pPr>
              <w:widowControl/>
              <w:spacing w:line="360" w:lineRule="exact"/>
              <w:jc w:val="center"/>
              <w:rPr>
                <w:color w:val="auto"/>
                <w:szCs w:val="21"/>
              </w:rPr>
            </w:pPr>
            <w:r>
              <w:rPr>
                <w:rFonts w:hint="eastAsia"/>
                <w:color w:val="auto"/>
                <w:szCs w:val="21"/>
              </w:rPr>
              <w:t>入河排污口</w:t>
            </w:r>
          </w:p>
          <w:p w14:paraId="3BCB3019">
            <w:pPr>
              <w:widowControl/>
              <w:spacing w:line="360" w:lineRule="exact"/>
              <w:jc w:val="center"/>
              <w:rPr>
                <w:color w:val="auto"/>
                <w:szCs w:val="21"/>
              </w:rPr>
            </w:pPr>
            <w:r>
              <w:rPr>
                <w:rFonts w:hint="eastAsia"/>
                <w:color w:val="auto"/>
                <w:szCs w:val="21"/>
              </w:rPr>
              <w:t>设置地点</w:t>
            </w:r>
          </w:p>
        </w:tc>
        <w:tc>
          <w:tcPr>
            <w:tcW w:w="6115" w:type="dxa"/>
            <w:gridSpan w:val="6"/>
            <w:vAlign w:val="center"/>
          </w:tcPr>
          <w:p w14:paraId="42A984C4">
            <w:pPr>
              <w:widowControl/>
              <w:snapToGrid w:val="0"/>
              <w:spacing w:line="360" w:lineRule="exact"/>
              <w:rPr>
                <w:color w:val="auto"/>
                <w:szCs w:val="21"/>
              </w:rPr>
            </w:pPr>
            <w:r>
              <w:rPr>
                <w:rFonts w:hint="eastAsia"/>
                <w:color w:val="000000" w:themeColor="text1"/>
                <w:szCs w:val="21"/>
                <w14:textFill>
                  <w14:solidFill>
                    <w14:schemeClr w14:val="tx1"/>
                  </w14:solidFill>
                </w14:textFill>
              </w:rPr>
              <w:t>所在行政区域：</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辽宁</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省（自治区、直辖市）</w:t>
            </w:r>
            <w:r>
              <w:rPr>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铁岭</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市（州、盟）</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昌图</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县（区、旗）</w:t>
            </w:r>
            <w:r>
              <w:rPr>
                <w:color w:val="000000" w:themeColor="text1"/>
                <w:szCs w:val="21"/>
                <w:u w:val="single"/>
                <w14:textFill>
                  <w14:solidFill>
                    <w14:schemeClr w14:val="tx1"/>
                  </w14:solidFill>
                </w14:textFill>
              </w:rPr>
              <w:t xml:space="preserve"> </w:t>
            </w:r>
            <w:r>
              <w:rPr>
                <w:rFonts w:hint="default"/>
                <w:color w:val="000000" w:themeColor="text1"/>
                <w:szCs w:val="21"/>
                <w:u w:val="single"/>
                <w:lang w:val="en-US" w:eastAsia="zh-CN"/>
                <w14:textFill>
                  <w14:solidFill>
                    <w14:schemeClr w14:val="tx1"/>
                  </w14:solidFill>
                </w14:textFill>
              </w:rPr>
              <w:t>马仲河</w:t>
            </w:r>
            <w:r>
              <w:rPr>
                <w:rFonts w:hint="eastAsia"/>
                <w:color w:val="000000" w:themeColor="text1"/>
                <w:szCs w:val="21"/>
                <w14:textFill>
                  <w14:solidFill>
                    <w14:schemeClr w14:val="tx1"/>
                  </w14:solidFill>
                </w14:textFill>
              </w:rPr>
              <w:t>（乡</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镇、街道）</w:t>
            </w:r>
            <w:r>
              <w:rPr>
                <w:color w:val="000000" w:themeColor="text1"/>
                <w:szCs w:val="21"/>
                <w:u w:val="single"/>
                <w14:textFill>
                  <w14:solidFill>
                    <w14:schemeClr w14:val="tx1"/>
                  </w14:solidFill>
                </w14:textFill>
              </w:rPr>
              <w:t xml:space="preserve"> </w:t>
            </w:r>
            <w:r>
              <w:rPr>
                <w:rFonts w:hint="default"/>
                <w:color w:val="000000" w:themeColor="text1"/>
                <w:szCs w:val="21"/>
                <w:u w:val="single"/>
                <w:lang w:val="en-US" w:eastAsia="zh-CN"/>
                <w14:textFill>
                  <w14:solidFill>
                    <w14:schemeClr w14:val="tx1"/>
                  </w14:solidFill>
                </w14:textFill>
              </w:rPr>
              <w:t>南新立村</w:t>
            </w:r>
            <w:r>
              <w:rPr>
                <w:color w:val="000000" w:themeColor="text1"/>
                <w:szCs w:val="21"/>
                <w:u w:val="single"/>
                <w14:textFill>
                  <w14:solidFill>
                    <w14:schemeClr w14:val="tx1"/>
                  </w14:solidFill>
                </w14:textFill>
              </w:rPr>
              <w:t xml:space="preserve">  </w:t>
            </w:r>
          </w:p>
        </w:tc>
      </w:tr>
      <w:tr w14:paraId="6A17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830" w:type="dxa"/>
            <w:vMerge w:val="continue"/>
            <w:vAlign w:val="center"/>
          </w:tcPr>
          <w:p w14:paraId="08625930">
            <w:pPr>
              <w:widowControl/>
              <w:spacing w:line="360" w:lineRule="exact"/>
              <w:jc w:val="center"/>
              <w:rPr>
                <w:color w:val="auto"/>
                <w:szCs w:val="21"/>
              </w:rPr>
            </w:pPr>
          </w:p>
        </w:tc>
        <w:tc>
          <w:tcPr>
            <w:tcW w:w="6115" w:type="dxa"/>
            <w:gridSpan w:val="6"/>
            <w:vAlign w:val="center"/>
          </w:tcPr>
          <w:p w14:paraId="0B11B959">
            <w:pPr>
              <w:widowControl/>
              <w:snapToGrid w:val="0"/>
              <w:spacing w:line="360" w:lineRule="exact"/>
              <w:rPr>
                <w:color w:val="auto"/>
                <w:szCs w:val="21"/>
              </w:rPr>
            </w:pPr>
            <w:r>
              <w:rPr>
                <w:rFonts w:hint="eastAsia"/>
                <w:color w:val="000000" w:themeColor="text1"/>
                <w:szCs w:val="21"/>
                <w14:textFill>
                  <w14:solidFill>
                    <w14:schemeClr w14:val="tx1"/>
                  </w14:solidFill>
                </w14:textFill>
              </w:rPr>
              <w:t>排入水体名称：</w:t>
            </w:r>
            <w:r>
              <w:rPr>
                <w:rFonts w:hint="eastAsia"/>
                <w:color w:val="000000" w:themeColor="text1"/>
                <w:szCs w:val="21"/>
                <w:lang w:val="en-US" w:eastAsia="zh-CN"/>
                <w14:textFill>
                  <w14:solidFill>
                    <w14:schemeClr w14:val="tx1"/>
                  </w14:solidFill>
                </w14:textFill>
              </w:rPr>
              <w:t>马仲</w:t>
            </w:r>
            <w:r>
              <w:rPr>
                <w:rFonts w:hint="eastAsia"/>
                <w:color w:val="000000" w:themeColor="text1"/>
                <w:szCs w:val="21"/>
                <w14:textFill>
                  <w14:solidFill>
                    <w14:schemeClr w14:val="tx1"/>
                  </w14:solidFill>
                </w14:textFill>
              </w:rPr>
              <w:t>河</w:t>
            </w:r>
          </w:p>
        </w:tc>
      </w:tr>
      <w:tr w14:paraId="3A42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30" w:type="dxa"/>
            <w:vMerge w:val="continue"/>
            <w:vAlign w:val="center"/>
          </w:tcPr>
          <w:p w14:paraId="2CF1FF61">
            <w:pPr>
              <w:widowControl/>
              <w:spacing w:line="360" w:lineRule="exact"/>
              <w:jc w:val="center"/>
              <w:rPr>
                <w:color w:val="auto"/>
                <w:szCs w:val="21"/>
              </w:rPr>
            </w:pPr>
          </w:p>
        </w:tc>
        <w:tc>
          <w:tcPr>
            <w:tcW w:w="6115" w:type="dxa"/>
            <w:gridSpan w:val="6"/>
            <w:vAlign w:val="center"/>
          </w:tcPr>
          <w:p w14:paraId="317C6E4D">
            <w:pPr>
              <w:widowControl/>
              <w:snapToGrid w:val="0"/>
              <w:spacing w:line="360" w:lineRule="exact"/>
              <w:rPr>
                <w:rFonts w:hint="default" w:eastAsia="宋体"/>
                <w:color w:val="auto"/>
                <w:szCs w:val="21"/>
                <w:lang w:val="en-US" w:eastAsia="zh-CN"/>
              </w:rPr>
            </w:pPr>
            <w:r>
              <w:rPr>
                <w:rFonts w:hint="eastAsia"/>
                <w:color w:val="000000" w:themeColor="text1"/>
                <w:szCs w:val="21"/>
                <w14:textFill>
                  <w14:solidFill>
                    <w14:schemeClr w14:val="tx1"/>
                  </w14:solidFill>
                </w14:textFill>
              </w:rPr>
              <w:t>所在流域：</w:t>
            </w:r>
            <w:r>
              <w:rPr>
                <w:rFonts w:hint="eastAsia"/>
                <w:color w:val="000000" w:themeColor="text1"/>
                <w:szCs w:val="21"/>
                <w:lang w:val="en-US" w:eastAsia="zh-CN"/>
                <w14:textFill>
                  <w14:solidFill>
                    <w14:schemeClr w14:val="tx1"/>
                  </w14:solidFill>
                </w14:textFill>
              </w:rPr>
              <w:t>辽河流域</w:t>
            </w:r>
          </w:p>
        </w:tc>
      </w:tr>
      <w:tr w14:paraId="1059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830" w:type="dxa"/>
            <w:vMerge w:val="continue"/>
            <w:vAlign w:val="center"/>
          </w:tcPr>
          <w:p w14:paraId="259E6674">
            <w:pPr>
              <w:widowControl/>
              <w:spacing w:line="360" w:lineRule="exact"/>
              <w:jc w:val="center"/>
              <w:rPr>
                <w:color w:val="auto"/>
                <w:szCs w:val="21"/>
              </w:rPr>
            </w:pPr>
          </w:p>
        </w:tc>
        <w:tc>
          <w:tcPr>
            <w:tcW w:w="6115" w:type="dxa"/>
            <w:gridSpan w:val="6"/>
            <w:vAlign w:val="center"/>
          </w:tcPr>
          <w:p w14:paraId="0424B81D">
            <w:pPr>
              <w:widowControl/>
              <w:snapToGrid w:val="0"/>
              <w:spacing w:line="360" w:lineRule="exact"/>
              <w:rPr>
                <w:rFonts w:ascii="Times New Roman" w:hAnsi="Times New Roman" w:eastAsia="宋体" w:cs="Times New Roman"/>
                <w:color w:val="000000" w:themeColor="text1"/>
                <w:szCs w:val="21"/>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经度（十进制精确到小数点后六位，</w:t>
            </w:r>
            <w:r>
              <w:rPr>
                <w:color w:val="000000" w:themeColor="text1"/>
                <w:szCs w:val="21"/>
                <w:highlight w:val="none"/>
                <w14:textFill>
                  <w14:solidFill>
                    <w14:schemeClr w14:val="tx1"/>
                  </w14:solidFill>
                </w14:textFill>
              </w:rPr>
              <w:t>CGCS2000</w:t>
            </w:r>
            <w:r>
              <w:rPr>
                <w:rFonts w:hint="eastAsia"/>
                <w:color w:val="000000" w:themeColor="text1"/>
                <w:szCs w:val="21"/>
                <w:highlight w:val="none"/>
                <w14:textFill>
                  <w14:solidFill>
                    <w14:schemeClr w14:val="tx1"/>
                  </w14:solidFill>
                </w14:textFill>
              </w:rPr>
              <w:t>坐标</w:t>
            </w:r>
            <w:r>
              <w:rPr>
                <w:rFonts w:hint="eastAsia" w:ascii="Times New Roman" w:hAnsi="Times New Roman" w:eastAsia="宋体" w:cs="Times New Roman"/>
                <w:color w:val="000000" w:themeColor="text1"/>
                <w:szCs w:val="21"/>
                <w:highlight w:val="none"/>
                <w14:textFill>
                  <w14:solidFill>
                    <w14:schemeClr w14:val="tx1"/>
                  </w14:solidFill>
                </w14:textFill>
              </w:rPr>
              <w:t>系）：</w:t>
            </w:r>
            <w:r>
              <w:rPr>
                <w:rFonts w:hint="default" w:ascii="Times New Roman" w:hAnsi="Times New Roman" w:eastAsia="宋体" w:cs="Times New Roman"/>
                <w:color w:val="auto"/>
                <w:sz w:val="21"/>
                <w:szCs w:val="21"/>
                <w:highlight w:val="none"/>
                <w:lang w:eastAsia="zh-CN"/>
              </w:rPr>
              <w:t>124.032</w:t>
            </w:r>
            <w:r>
              <w:rPr>
                <w:rFonts w:hint="eastAsia" w:cs="Times New Roman"/>
                <w:color w:val="auto"/>
                <w:sz w:val="21"/>
                <w:szCs w:val="21"/>
                <w:highlight w:val="none"/>
                <w:lang w:val="en-US" w:eastAsia="zh-CN"/>
              </w:rPr>
              <w:t>283</w:t>
            </w:r>
            <w:r>
              <w:rPr>
                <w:rFonts w:hint="default" w:ascii="Times New Roman" w:hAnsi="Times New Roman" w:cs="Times New Roman"/>
                <w:color w:val="auto"/>
                <w:sz w:val="21"/>
                <w:szCs w:val="21"/>
                <w:highlight w:val="none"/>
                <w:lang w:val="en-US" w:eastAsia="zh-CN"/>
              </w:rPr>
              <w:t>°</w:t>
            </w:r>
          </w:p>
          <w:p w14:paraId="5C9D776F">
            <w:pPr>
              <w:widowControl/>
              <w:snapToGrid w:val="0"/>
              <w:spacing w:line="360" w:lineRule="exact"/>
              <w:rPr>
                <w:color w:val="auto"/>
              </w:rPr>
            </w:pPr>
            <w:r>
              <w:rPr>
                <w:rFonts w:hint="eastAsia" w:ascii="Times New Roman" w:hAnsi="Times New Roman" w:eastAsia="宋体" w:cs="Times New Roman"/>
                <w:color w:val="000000" w:themeColor="text1"/>
                <w:szCs w:val="21"/>
                <w:highlight w:val="none"/>
                <w14:textFill>
                  <w14:solidFill>
                    <w14:schemeClr w14:val="tx1"/>
                  </w14:solidFill>
                </w14:textFill>
              </w:rPr>
              <w:t>纬度（十进制精确到小数点后六位，</w:t>
            </w:r>
            <w:r>
              <w:rPr>
                <w:rFonts w:ascii="Times New Roman" w:hAnsi="Times New Roman" w:eastAsia="宋体" w:cs="Times New Roman"/>
                <w:color w:val="000000" w:themeColor="text1"/>
                <w:szCs w:val="21"/>
                <w:highlight w:val="none"/>
                <w14:textFill>
                  <w14:solidFill>
                    <w14:schemeClr w14:val="tx1"/>
                  </w14:solidFill>
                </w14:textFill>
              </w:rPr>
              <w:t>CGCS2000</w:t>
            </w:r>
            <w:r>
              <w:rPr>
                <w:rFonts w:hint="eastAsia" w:ascii="Times New Roman" w:hAnsi="Times New Roman" w:eastAsia="宋体" w:cs="Times New Roman"/>
                <w:color w:val="000000" w:themeColor="text1"/>
                <w:szCs w:val="21"/>
                <w:highlight w:val="none"/>
                <w14:textFill>
                  <w14:solidFill>
                    <w14:schemeClr w14:val="tx1"/>
                  </w14:solidFill>
                </w14:textFill>
              </w:rPr>
              <w:t>坐标系）：</w:t>
            </w:r>
            <w:r>
              <w:rPr>
                <w:rFonts w:hint="default" w:ascii="Times New Roman" w:hAnsi="Times New Roman" w:eastAsia="宋体" w:cs="Times New Roman"/>
                <w:color w:val="auto"/>
                <w:sz w:val="21"/>
                <w:szCs w:val="21"/>
                <w:highlight w:val="none"/>
                <w:lang w:eastAsia="zh-CN"/>
              </w:rPr>
              <w:t>42.7318</w:t>
            </w:r>
            <w:r>
              <w:rPr>
                <w:rFonts w:hint="eastAsia" w:cs="Times New Roman"/>
                <w:color w:val="auto"/>
                <w:sz w:val="21"/>
                <w:szCs w:val="21"/>
                <w:highlight w:val="none"/>
                <w:lang w:val="en-US" w:eastAsia="zh-CN"/>
              </w:rPr>
              <w:t>25</w:t>
            </w:r>
            <w:bookmarkStart w:id="21" w:name="_GoBack"/>
            <w:bookmarkEnd w:id="21"/>
            <w:r>
              <w:rPr>
                <w:rFonts w:hint="default" w:ascii="Times New Roman" w:hAnsi="Times New Roman" w:cs="Times New Roman"/>
                <w:color w:val="auto"/>
                <w:sz w:val="21"/>
                <w:szCs w:val="21"/>
                <w:highlight w:val="none"/>
                <w:lang w:val="en-US" w:eastAsia="zh-CN"/>
              </w:rPr>
              <w:t>°</w:t>
            </w:r>
          </w:p>
        </w:tc>
      </w:tr>
      <w:tr w14:paraId="7A9D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30" w:type="dxa"/>
            <w:vAlign w:val="center"/>
          </w:tcPr>
          <w:p w14:paraId="04DBFF51">
            <w:pPr>
              <w:widowControl/>
              <w:spacing w:line="360" w:lineRule="exact"/>
              <w:jc w:val="center"/>
              <w:rPr>
                <w:color w:val="auto"/>
                <w:szCs w:val="20"/>
              </w:rPr>
            </w:pPr>
            <w:r>
              <w:rPr>
                <w:rFonts w:hint="eastAsia"/>
                <w:color w:val="auto"/>
                <w:szCs w:val="20"/>
              </w:rPr>
              <w:t>污水排放方式</w:t>
            </w:r>
          </w:p>
        </w:tc>
        <w:tc>
          <w:tcPr>
            <w:tcW w:w="1259" w:type="dxa"/>
            <w:vAlign w:val="center"/>
          </w:tcPr>
          <w:p w14:paraId="09B4FCB2">
            <w:pPr>
              <w:widowControl/>
              <w:spacing w:line="360" w:lineRule="exact"/>
              <w:rPr>
                <w:color w:val="auto"/>
                <w:szCs w:val="20"/>
              </w:rPr>
            </w:pPr>
            <w:r>
              <w:rPr>
                <w:color w:val="auto"/>
                <w:szCs w:val="20"/>
              </w:rPr>
              <w:sym w:font="Wingdings 2" w:char="0052"/>
            </w:r>
            <w:r>
              <w:rPr>
                <w:rFonts w:hint="eastAsia"/>
                <w:color w:val="auto"/>
                <w:szCs w:val="20"/>
              </w:rPr>
              <w:t>连续</w:t>
            </w:r>
            <w:r>
              <w:rPr>
                <w:color w:val="auto"/>
                <w:szCs w:val="20"/>
              </w:rPr>
              <w:t xml:space="preserve"> </w:t>
            </w:r>
          </w:p>
          <w:p w14:paraId="454FD53C">
            <w:pPr>
              <w:widowControl/>
              <w:spacing w:line="360" w:lineRule="exact"/>
              <w:rPr>
                <w:color w:val="auto"/>
                <w:szCs w:val="20"/>
              </w:rPr>
            </w:pPr>
            <w:r>
              <w:rPr>
                <w:color w:val="auto"/>
                <w:szCs w:val="20"/>
              </w:rPr>
              <w:sym w:font="Wingdings" w:char="00A8"/>
            </w:r>
            <w:r>
              <w:rPr>
                <w:rFonts w:hint="eastAsia"/>
                <w:color w:val="auto"/>
                <w:szCs w:val="20"/>
              </w:rPr>
              <w:t>间歇</w:t>
            </w:r>
          </w:p>
        </w:tc>
        <w:tc>
          <w:tcPr>
            <w:tcW w:w="725" w:type="dxa"/>
            <w:vMerge w:val="restart"/>
            <w:vAlign w:val="center"/>
          </w:tcPr>
          <w:p w14:paraId="28429B71">
            <w:pPr>
              <w:widowControl/>
              <w:spacing w:line="360" w:lineRule="exact"/>
              <w:ind w:right="-105" w:rightChars="-50"/>
              <w:rPr>
                <w:color w:val="auto"/>
                <w:szCs w:val="20"/>
              </w:rPr>
            </w:pPr>
            <w:r>
              <w:rPr>
                <w:rFonts w:hint="eastAsia"/>
                <w:color w:val="auto"/>
                <w:szCs w:val="20"/>
              </w:rPr>
              <w:t>入河</w:t>
            </w:r>
          </w:p>
          <w:p w14:paraId="355727A9">
            <w:pPr>
              <w:widowControl/>
              <w:spacing w:line="360" w:lineRule="exact"/>
              <w:ind w:right="-105" w:rightChars="-50"/>
              <w:rPr>
                <w:color w:val="auto"/>
                <w:szCs w:val="20"/>
              </w:rPr>
            </w:pPr>
            <w:r>
              <w:rPr>
                <w:rFonts w:hint="eastAsia"/>
                <w:color w:val="auto"/>
                <w:szCs w:val="20"/>
              </w:rPr>
              <w:t>方式</w:t>
            </w:r>
          </w:p>
        </w:tc>
        <w:tc>
          <w:tcPr>
            <w:tcW w:w="4131" w:type="dxa"/>
            <w:gridSpan w:val="4"/>
            <w:vMerge w:val="restart"/>
            <w:vAlign w:val="center"/>
          </w:tcPr>
          <w:p w14:paraId="6DCF1781">
            <w:pPr>
              <w:spacing w:line="360" w:lineRule="exact"/>
              <w:ind w:firstLine="315" w:firstLineChars="150"/>
              <w:rPr>
                <w:color w:val="auto"/>
                <w:szCs w:val="20"/>
              </w:rPr>
            </w:pPr>
            <w:r>
              <w:rPr>
                <w:rFonts w:hint="eastAsia"/>
                <w:color w:val="auto"/>
                <w:szCs w:val="20"/>
              </w:rPr>
              <w:sym w:font="Wingdings" w:char="00A8"/>
            </w:r>
            <w:r>
              <w:rPr>
                <w:rFonts w:hint="eastAsia"/>
                <w:color w:val="auto"/>
                <w:szCs w:val="20"/>
              </w:rPr>
              <w:t>明渠</w:t>
            </w:r>
            <w:r>
              <w:rPr>
                <w:color w:val="auto"/>
                <w:szCs w:val="20"/>
              </w:rPr>
              <w:t xml:space="preserve">  </w:t>
            </w:r>
            <w:r>
              <w:rPr>
                <w:color w:val="auto"/>
                <w:szCs w:val="20"/>
              </w:rPr>
              <w:sym w:font="Wingdings" w:char="00FE"/>
            </w:r>
            <w:r>
              <w:rPr>
                <w:rFonts w:hint="eastAsia"/>
                <w:color w:val="auto"/>
                <w:szCs w:val="20"/>
              </w:rPr>
              <w:t>管道</w:t>
            </w:r>
          </w:p>
          <w:p w14:paraId="08309AB4">
            <w:pPr>
              <w:spacing w:line="360" w:lineRule="exact"/>
              <w:ind w:firstLine="315" w:firstLineChars="150"/>
              <w:rPr>
                <w:color w:val="auto"/>
                <w:szCs w:val="20"/>
              </w:rPr>
            </w:pPr>
            <w:r>
              <w:rPr>
                <w:color w:val="auto"/>
                <w:szCs w:val="20"/>
              </w:rPr>
              <w:sym w:font="Wingdings 2" w:char="00A3"/>
            </w:r>
            <w:r>
              <w:rPr>
                <w:rFonts w:hint="eastAsia"/>
                <w:color w:val="auto"/>
                <w:szCs w:val="20"/>
              </w:rPr>
              <w:t>泵站</w:t>
            </w:r>
            <w:r>
              <w:rPr>
                <w:color w:val="auto"/>
                <w:szCs w:val="20"/>
              </w:rPr>
              <w:t xml:space="preserve">  </w:t>
            </w:r>
            <w:r>
              <w:rPr>
                <w:color w:val="auto"/>
                <w:szCs w:val="20"/>
              </w:rPr>
              <w:sym w:font="Wingdings 2" w:char="00A3"/>
            </w:r>
            <w:r>
              <w:rPr>
                <w:rFonts w:hint="eastAsia"/>
                <w:color w:val="auto"/>
                <w:szCs w:val="20"/>
              </w:rPr>
              <w:t>涵闸</w:t>
            </w:r>
          </w:p>
          <w:p w14:paraId="08876E4B">
            <w:pPr>
              <w:widowControl/>
              <w:spacing w:line="360" w:lineRule="exact"/>
              <w:ind w:firstLine="315" w:firstLineChars="150"/>
              <w:rPr>
                <w:color w:val="auto"/>
                <w:szCs w:val="20"/>
              </w:rPr>
            </w:pPr>
            <w:r>
              <w:rPr>
                <w:color w:val="auto"/>
                <w:szCs w:val="20"/>
              </w:rPr>
              <w:sym w:font="Wingdings 2" w:char="00A3"/>
            </w:r>
            <w:r>
              <w:rPr>
                <w:rFonts w:hint="eastAsia"/>
                <w:color w:val="auto"/>
                <w:szCs w:val="20"/>
              </w:rPr>
              <w:t>箱涵</w:t>
            </w:r>
            <w:r>
              <w:rPr>
                <w:color w:val="auto"/>
                <w:szCs w:val="20"/>
              </w:rPr>
              <w:t xml:space="preserve">  </w:t>
            </w:r>
            <w:r>
              <w:rPr>
                <w:color w:val="auto"/>
                <w:szCs w:val="20"/>
              </w:rPr>
              <w:sym w:font="Wingdings 2" w:char="00A3"/>
            </w:r>
            <w:r>
              <w:rPr>
                <w:rFonts w:hint="eastAsia"/>
                <w:color w:val="auto"/>
                <w:szCs w:val="20"/>
              </w:rPr>
              <w:t>其他：</w:t>
            </w:r>
            <w:r>
              <w:rPr>
                <w:color w:val="auto"/>
                <w:szCs w:val="20"/>
              </w:rPr>
              <w:t>_______</w:t>
            </w:r>
          </w:p>
        </w:tc>
      </w:tr>
      <w:tr w14:paraId="59A0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830" w:type="dxa"/>
            <w:vAlign w:val="center"/>
          </w:tcPr>
          <w:p w14:paraId="1BF09FA4">
            <w:pPr>
              <w:widowControl/>
              <w:spacing w:line="360" w:lineRule="exact"/>
              <w:jc w:val="center"/>
              <w:rPr>
                <w:color w:val="auto"/>
                <w:szCs w:val="20"/>
              </w:rPr>
            </w:pPr>
            <w:r>
              <w:rPr>
                <w:rFonts w:hint="eastAsia"/>
                <w:color w:val="auto"/>
                <w:szCs w:val="21"/>
              </w:rPr>
              <w:t>是否共用</w:t>
            </w:r>
          </w:p>
        </w:tc>
        <w:tc>
          <w:tcPr>
            <w:tcW w:w="1259" w:type="dxa"/>
            <w:vAlign w:val="center"/>
          </w:tcPr>
          <w:p w14:paraId="47805E33">
            <w:pPr>
              <w:widowControl/>
              <w:spacing w:line="360" w:lineRule="exact"/>
              <w:rPr>
                <w:color w:val="auto"/>
                <w:szCs w:val="20"/>
              </w:rPr>
            </w:pPr>
            <w:r>
              <w:rPr>
                <w:color w:val="auto"/>
                <w:szCs w:val="20"/>
              </w:rPr>
              <w:sym w:font="Wingdings" w:char="00A8"/>
            </w:r>
            <w:r>
              <w:rPr>
                <w:rFonts w:hint="eastAsia"/>
                <w:color w:val="auto"/>
                <w:szCs w:val="20"/>
              </w:rPr>
              <w:t>是</w:t>
            </w:r>
          </w:p>
          <w:p w14:paraId="5AEFE24F">
            <w:pPr>
              <w:widowControl/>
              <w:spacing w:line="360" w:lineRule="exact"/>
              <w:rPr>
                <w:color w:val="auto"/>
                <w:szCs w:val="20"/>
              </w:rPr>
            </w:pPr>
            <w:r>
              <w:rPr>
                <w:color w:val="auto"/>
                <w:szCs w:val="20"/>
              </w:rPr>
              <w:sym w:font="Wingdings 2" w:char="0052"/>
            </w:r>
            <w:r>
              <w:rPr>
                <w:rFonts w:hint="eastAsia"/>
                <w:color w:val="auto"/>
                <w:szCs w:val="20"/>
              </w:rPr>
              <w:t>否</w:t>
            </w:r>
          </w:p>
        </w:tc>
        <w:tc>
          <w:tcPr>
            <w:tcW w:w="725" w:type="dxa"/>
            <w:vMerge w:val="continue"/>
            <w:vAlign w:val="center"/>
          </w:tcPr>
          <w:p w14:paraId="6126D2CD">
            <w:pPr>
              <w:widowControl/>
              <w:spacing w:line="360" w:lineRule="exact"/>
              <w:rPr>
                <w:color w:val="auto"/>
                <w:szCs w:val="20"/>
              </w:rPr>
            </w:pPr>
          </w:p>
        </w:tc>
        <w:tc>
          <w:tcPr>
            <w:tcW w:w="4131" w:type="dxa"/>
            <w:gridSpan w:val="4"/>
            <w:vMerge w:val="continue"/>
            <w:vAlign w:val="center"/>
          </w:tcPr>
          <w:p w14:paraId="39D6BDA8">
            <w:pPr>
              <w:widowControl/>
              <w:spacing w:line="360" w:lineRule="exact"/>
              <w:rPr>
                <w:color w:val="auto"/>
                <w:szCs w:val="20"/>
              </w:rPr>
            </w:pPr>
          </w:p>
        </w:tc>
      </w:tr>
      <w:tr w14:paraId="7C42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830" w:type="dxa"/>
            <w:vMerge w:val="restart"/>
            <w:vAlign w:val="center"/>
          </w:tcPr>
          <w:p w14:paraId="1B1D3ADE">
            <w:pPr>
              <w:widowControl/>
              <w:spacing w:line="360" w:lineRule="exact"/>
              <w:jc w:val="center"/>
              <w:rPr>
                <w:color w:val="auto"/>
                <w:szCs w:val="20"/>
              </w:rPr>
            </w:pPr>
            <w:r>
              <w:rPr>
                <w:rFonts w:hint="eastAsia"/>
                <w:color w:val="000000" w:themeColor="text1"/>
                <w:szCs w:val="28"/>
                <w14:textFill>
                  <w14:solidFill>
                    <w14:schemeClr w14:val="tx1"/>
                  </w14:solidFill>
                </w14:textFill>
              </w:rPr>
              <w:t>入河排污口截面信息</w:t>
            </w:r>
          </w:p>
        </w:tc>
        <w:tc>
          <w:tcPr>
            <w:tcW w:w="6115" w:type="dxa"/>
            <w:gridSpan w:val="6"/>
            <w:vAlign w:val="center"/>
          </w:tcPr>
          <w:p w14:paraId="4BE77D0B">
            <w:pPr>
              <w:widowControl/>
              <w:spacing w:line="360" w:lineRule="exact"/>
              <w:rPr>
                <w:color w:val="auto"/>
                <w:szCs w:val="20"/>
              </w:rPr>
            </w:pPr>
            <w:r>
              <w:rPr>
                <w:color w:val="000000" w:themeColor="text1"/>
                <w:szCs w:val="20"/>
                <w14:textFill>
                  <w14:solidFill>
                    <w14:schemeClr w14:val="tx1"/>
                  </w14:solidFill>
                </w14:textFill>
              </w:rPr>
              <w:sym w:font="Wingdings 2" w:char="0052"/>
            </w:r>
            <w:r>
              <w:rPr>
                <w:rFonts w:hint="eastAsia"/>
                <w:color w:val="000000" w:themeColor="text1"/>
                <w:szCs w:val="20"/>
                <w14:textFill>
                  <w14:solidFill>
                    <w14:schemeClr w14:val="tx1"/>
                  </w14:solidFill>
                </w14:textFill>
              </w:rPr>
              <w:t>圆形截面：</w:t>
            </w:r>
            <w:r>
              <w:rPr>
                <w:color w:val="000000" w:themeColor="text1"/>
                <w:szCs w:val="20"/>
                <w14:textFill>
                  <w14:solidFill>
                    <w14:schemeClr w14:val="tx1"/>
                  </w14:solidFill>
                </w14:textFill>
              </w:rPr>
              <w:t>d=</w:t>
            </w:r>
            <w:r>
              <w:rPr>
                <w:rFonts w:hint="eastAsia"/>
                <w:color w:val="000000" w:themeColor="text1"/>
                <w:szCs w:val="20"/>
                <w:lang w:val="en-US" w:eastAsia="zh-CN"/>
                <w14:textFill>
                  <w14:solidFill>
                    <w14:schemeClr w14:val="tx1"/>
                  </w14:solidFill>
                </w14:textFill>
              </w:rPr>
              <w:t>1.5</w:t>
            </w:r>
            <w:r>
              <w:rPr>
                <w:color w:val="000000" w:themeColor="text1"/>
                <w:szCs w:val="20"/>
                <w14:textFill>
                  <w14:solidFill>
                    <w14:schemeClr w14:val="tx1"/>
                  </w14:solidFill>
                </w14:textFill>
              </w:rPr>
              <w:t>m</w:t>
            </w:r>
            <w:r>
              <w:rPr>
                <w:rFonts w:hint="eastAsia"/>
                <w:color w:val="000000" w:themeColor="text1"/>
                <w:szCs w:val="20"/>
                <w14:textFill>
                  <w14:solidFill>
                    <w14:schemeClr w14:val="tx1"/>
                  </w14:solidFill>
                </w14:textFill>
              </w:rPr>
              <w:t>，</w:t>
            </w:r>
            <w:r>
              <w:rPr>
                <w:color w:val="000000" w:themeColor="text1"/>
                <w:szCs w:val="20"/>
                <w14:textFill>
                  <w14:solidFill>
                    <w14:schemeClr w14:val="tx1"/>
                  </w14:solidFill>
                </w14:textFill>
              </w:rPr>
              <w:t>S=</w:t>
            </w:r>
            <w:r>
              <w:rPr>
                <w:rFonts w:hint="eastAsia"/>
                <w:color w:val="000000" w:themeColor="text1"/>
                <w:szCs w:val="20"/>
                <w:lang w:val="en-US" w:eastAsia="zh-CN"/>
                <w14:textFill>
                  <w14:solidFill>
                    <w14:schemeClr w14:val="tx1"/>
                  </w14:solidFill>
                </w14:textFill>
              </w:rPr>
              <w:t>1.767</w:t>
            </w:r>
            <w:r>
              <w:rPr>
                <w:color w:val="000000" w:themeColor="text1"/>
                <w:szCs w:val="20"/>
                <w14:textFill>
                  <w14:solidFill>
                    <w14:schemeClr w14:val="tx1"/>
                  </w14:solidFill>
                </w14:textFill>
              </w:rPr>
              <w:t>m</w:t>
            </w:r>
            <w:r>
              <w:rPr>
                <w:color w:val="000000" w:themeColor="text1"/>
                <w:szCs w:val="20"/>
                <w:vertAlign w:val="superscript"/>
                <w14:textFill>
                  <w14:solidFill>
                    <w14:schemeClr w14:val="tx1"/>
                  </w14:solidFill>
                </w14:textFill>
              </w:rPr>
              <w:t>2</w:t>
            </w:r>
          </w:p>
        </w:tc>
      </w:tr>
      <w:tr w14:paraId="05FA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830" w:type="dxa"/>
            <w:vMerge w:val="continue"/>
            <w:vAlign w:val="center"/>
          </w:tcPr>
          <w:p w14:paraId="3367DF44">
            <w:pPr>
              <w:widowControl/>
              <w:spacing w:line="360" w:lineRule="exact"/>
              <w:rPr>
                <w:color w:val="auto"/>
                <w:szCs w:val="28"/>
              </w:rPr>
            </w:pPr>
          </w:p>
        </w:tc>
        <w:tc>
          <w:tcPr>
            <w:tcW w:w="6115" w:type="dxa"/>
            <w:gridSpan w:val="6"/>
            <w:vAlign w:val="center"/>
          </w:tcPr>
          <w:p w14:paraId="2EB6109D">
            <w:pPr>
              <w:spacing w:line="360" w:lineRule="exact"/>
              <w:rPr>
                <w:color w:val="auto"/>
                <w:szCs w:val="20"/>
              </w:rPr>
            </w:pPr>
            <w:r>
              <w:rPr>
                <w:color w:val="000000" w:themeColor="text1"/>
                <w:szCs w:val="20"/>
                <w14:textFill>
                  <w14:solidFill>
                    <w14:schemeClr w14:val="tx1"/>
                  </w14:solidFill>
                </w14:textFill>
              </w:rPr>
              <w:sym w:font="Wingdings 2" w:char="00A3"/>
            </w:r>
            <w:r>
              <w:rPr>
                <w:rFonts w:hint="eastAsia"/>
                <w:color w:val="000000" w:themeColor="text1"/>
                <w:szCs w:val="20"/>
                <w14:textFill>
                  <w14:solidFill>
                    <w14:schemeClr w14:val="tx1"/>
                  </w14:solidFill>
                </w14:textFill>
              </w:rPr>
              <w:t>方形截面：</w:t>
            </w:r>
            <w:r>
              <w:rPr>
                <w:color w:val="000000" w:themeColor="text1"/>
                <w:szCs w:val="20"/>
                <w14:textFill>
                  <w14:solidFill>
                    <w14:schemeClr w14:val="tx1"/>
                  </w14:solidFill>
                </w14:textFill>
              </w:rPr>
              <w:t>L×B=   m×  m</w:t>
            </w:r>
            <w:r>
              <w:rPr>
                <w:rFonts w:hint="eastAsia"/>
                <w:color w:val="000000" w:themeColor="text1"/>
                <w:szCs w:val="20"/>
                <w14:textFill>
                  <w14:solidFill>
                    <w14:schemeClr w14:val="tx1"/>
                  </w14:solidFill>
                </w14:textFill>
              </w:rPr>
              <w:t>，</w:t>
            </w:r>
            <w:r>
              <w:rPr>
                <w:color w:val="000000" w:themeColor="text1"/>
                <w:szCs w:val="20"/>
                <w14:textFill>
                  <w14:solidFill>
                    <w14:schemeClr w14:val="tx1"/>
                  </w14:solidFill>
                </w14:textFill>
              </w:rPr>
              <w:t>S=   m</w:t>
            </w:r>
            <w:r>
              <w:rPr>
                <w:color w:val="000000" w:themeColor="text1"/>
                <w:szCs w:val="20"/>
                <w:vertAlign w:val="superscript"/>
                <w14:textFill>
                  <w14:solidFill>
                    <w14:schemeClr w14:val="tx1"/>
                  </w14:solidFill>
                </w14:textFill>
              </w:rPr>
              <w:t>2</w:t>
            </w:r>
          </w:p>
        </w:tc>
      </w:tr>
      <w:tr w14:paraId="4A07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30" w:type="dxa"/>
            <w:vMerge w:val="continue"/>
            <w:vAlign w:val="center"/>
          </w:tcPr>
          <w:p w14:paraId="48596F4D">
            <w:pPr>
              <w:widowControl/>
              <w:spacing w:line="360" w:lineRule="exact"/>
              <w:rPr>
                <w:color w:val="auto"/>
                <w:szCs w:val="28"/>
              </w:rPr>
            </w:pPr>
          </w:p>
        </w:tc>
        <w:tc>
          <w:tcPr>
            <w:tcW w:w="6115" w:type="dxa"/>
            <w:gridSpan w:val="6"/>
            <w:vAlign w:val="center"/>
          </w:tcPr>
          <w:p w14:paraId="2AEE2938">
            <w:pPr>
              <w:spacing w:line="360" w:lineRule="exact"/>
              <w:rPr>
                <w:color w:val="auto"/>
                <w:szCs w:val="20"/>
              </w:rPr>
            </w:pPr>
            <w:r>
              <w:rPr>
                <w:color w:val="000000" w:themeColor="text1"/>
                <w:szCs w:val="20"/>
                <w14:textFill>
                  <w14:solidFill>
                    <w14:schemeClr w14:val="tx1"/>
                  </w14:solidFill>
                </w14:textFill>
              </w:rPr>
              <w:sym w:font="Wingdings 2" w:char="00A3"/>
            </w:r>
            <w:r>
              <w:rPr>
                <w:rFonts w:hint="eastAsia"/>
                <w:color w:val="000000" w:themeColor="text1"/>
                <w:szCs w:val="20"/>
                <w14:textFill>
                  <w14:solidFill>
                    <w14:schemeClr w14:val="tx1"/>
                  </w14:solidFill>
                </w14:textFill>
              </w:rPr>
              <w:t>其他形状截面：</w:t>
            </w:r>
            <w:r>
              <w:rPr>
                <w:color w:val="000000" w:themeColor="text1"/>
                <w:szCs w:val="20"/>
                <w14:textFill>
                  <w14:solidFill>
                    <w14:schemeClr w14:val="tx1"/>
                  </w14:solidFill>
                </w14:textFill>
              </w:rPr>
              <w:t>S=    m</w:t>
            </w:r>
            <w:r>
              <w:rPr>
                <w:color w:val="000000" w:themeColor="text1"/>
                <w:szCs w:val="20"/>
                <w:vertAlign w:val="superscript"/>
                <w14:textFill>
                  <w14:solidFill>
                    <w14:schemeClr w14:val="tx1"/>
                  </w14:solidFill>
                </w14:textFill>
              </w:rPr>
              <w:t>2</w:t>
            </w:r>
          </w:p>
        </w:tc>
      </w:tr>
      <w:tr w14:paraId="35FD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006198D3">
            <w:pPr>
              <w:widowControl/>
              <w:spacing w:line="360" w:lineRule="exact"/>
              <w:rPr>
                <w:color w:val="auto"/>
                <w:szCs w:val="20"/>
              </w:rPr>
            </w:pPr>
            <w:r>
              <w:rPr>
                <w:rFonts w:hint="eastAsia"/>
                <w:color w:val="auto"/>
                <w:szCs w:val="21"/>
              </w:rPr>
              <w:t>入河排污口污水排放量，入河排污口重点污染物排放种类、排放浓度和排放量</w:t>
            </w:r>
          </w:p>
        </w:tc>
      </w:tr>
      <w:tr w14:paraId="0812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830" w:type="dxa"/>
            <w:vMerge w:val="restart"/>
            <w:vAlign w:val="center"/>
          </w:tcPr>
          <w:p w14:paraId="0A4567DA">
            <w:pPr>
              <w:widowControl/>
              <w:spacing w:line="360" w:lineRule="exact"/>
              <w:jc w:val="center"/>
              <w:rPr>
                <w:color w:val="auto"/>
                <w:szCs w:val="20"/>
              </w:rPr>
            </w:pPr>
            <w:r>
              <w:rPr>
                <w:rFonts w:hint="eastAsia"/>
                <w:color w:val="auto"/>
                <w:szCs w:val="20"/>
              </w:rPr>
              <w:t>污染物种类</w:t>
            </w:r>
          </w:p>
        </w:tc>
        <w:tc>
          <w:tcPr>
            <w:tcW w:w="1259" w:type="dxa"/>
            <w:vMerge w:val="restart"/>
            <w:vAlign w:val="center"/>
          </w:tcPr>
          <w:p w14:paraId="59FF2139">
            <w:pPr>
              <w:widowControl/>
              <w:spacing w:line="360" w:lineRule="exact"/>
              <w:jc w:val="center"/>
              <w:rPr>
                <w:color w:val="auto"/>
                <w:szCs w:val="20"/>
              </w:rPr>
            </w:pPr>
            <w:r>
              <w:rPr>
                <w:rFonts w:hint="eastAsia"/>
                <w:color w:val="auto"/>
                <w:szCs w:val="20"/>
              </w:rPr>
              <w:t>排放浓度（</w:t>
            </w:r>
            <w:r>
              <w:rPr>
                <w:color w:val="auto"/>
                <w:szCs w:val="20"/>
              </w:rPr>
              <w:t>mg/L</w:t>
            </w:r>
            <w:r>
              <w:rPr>
                <w:rFonts w:hint="eastAsia"/>
                <w:color w:val="auto"/>
                <w:szCs w:val="20"/>
              </w:rPr>
              <w:t>）</w:t>
            </w:r>
          </w:p>
        </w:tc>
        <w:tc>
          <w:tcPr>
            <w:tcW w:w="2472" w:type="dxa"/>
            <w:gridSpan w:val="3"/>
            <w:vAlign w:val="center"/>
          </w:tcPr>
          <w:p w14:paraId="5079A384">
            <w:pPr>
              <w:widowControl/>
              <w:spacing w:line="360" w:lineRule="exact"/>
              <w:jc w:val="center"/>
              <w:rPr>
                <w:color w:val="auto"/>
                <w:szCs w:val="20"/>
              </w:rPr>
            </w:pPr>
            <w:r>
              <w:rPr>
                <w:rFonts w:hint="eastAsia"/>
                <w:color w:val="auto"/>
                <w:szCs w:val="20"/>
              </w:rPr>
              <w:t>全年</w:t>
            </w:r>
          </w:p>
        </w:tc>
        <w:tc>
          <w:tcPr>
            <w:tcW w:w="2384" w:type="dxa"/>
            <w:gridSpan w:val="2"/>
            <w:vAlign w:val="center"/>
          </w:tcPr>
          <w:p w14:paraId="595C28E7">
            <w:pPr>
              <w:widowControl/>
              <w:spacing w:line="360" w:lineRule="exact"/>
              <w:jc w:val="center"/>
              <w:rPr>
                <w:color w:val="auto"/>
                <w:szCs w:val="20"/>
              </w:rPr>
            </w:pPr>
            <w:r>
              <w:rPr>
                <w:rFonts w:hint="eastAsia"/>
                <w:color w:val="auto"/>
                <w:szCs w:val="20"/>
              </w:rPr>
              <w:t>特殊时段（12月至4月）</w:t>
            </w:r>
          </w:p>
        </w:tc>
      </w:tr>
      <w:tr w14:paraId="0263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0" w:type="dxa"/>
            <w:vMerge w:val="continue"/>
            <w:vAlign w:val="center"/>
          </w:tcPr>
          <w:p w14:paraId="09994969">
            <w:pPr>
              <w:spacing w:line="360" w:lineRule="exact"/>
              <w:rPr>
                <w:color w:val="auto"/>
                <w:szCs w:val="20"/>
              </w:rPr>
            </w:pPr>
          </w:p>
        </w:tc>
        <w:tc>
          <w:tcPr>
            <w:tcW w:w="1259" w:type="dxa"/>
            <w:vMerge w:val="continue"/>
            <w:vAlign w:val="center"/>
          </w:tcPr>
          <w:p w14:paraId="30C1F5B3">
            <w:pPr>
              <w:widowControl/>
              <w:spacing w:line="360" w:lineRule="exact"/>
              <w:jc w:val="center"/>
              <w:rPr>
                <w:color w:val="auto"/>
                <w:szCs w:val="20"/>
              </w:rPr>
            </w:pPr>
          </w:p>
        </w:tc>
        <w:tc>
          <w:tcPr>
            <w:tcW w:w="1151" w:type="dxa"/>
            <w:gridSpan w:val="2"/>
            <w:vAlign w:val="center"/>
          </w:tcPr>
          <w:p w14:paraId="027DFCAE">
            <w:pPr>
              <w:widowControl/>
              <w:spacing w:line="360" w:lineRule="exact"/>
              <w:jc w:val="center"/>
              <w:rPr>
                <w:color w:val="auto"/>
                <w:szCs w:val="20"/>
              </w:rPr>
            </w:pPr>
            <w:r>
              <w:rPr>
                <w:rFonts w:hint="eastAsia"/>
                <w:color w:val="auto"/>
                <w:szCs w:val="20"/>
              </w:rPr>
              <w:t>污水排放量（万</w:t>
            </w:r>
            <w:r>
              <w:rPr>
                <w:color w:val="auto"/>
                <w:szCs w:val="20"/>
              </w:rPr>
              <w:t>t/</w:t>
            </w:r>
            <w:r>
              <w:rPr>
                <w:rFonts w:hint="eastAsia"/>
                <w:color w:val="auto"/>
                <w:szCs w:val="20"/>
              </w:rPr>
              <w:t>a）</w:t>
            </w:r>
          </w:p>
        </w:tc>
        <w:tc>
          <w:tcPr>
            <w:tcW w:w="1321" w:type="dxa"/>
            <w:vAlign w:val="center"/>
          </w:tcPr>
          <w:p w14:paraId="5F2BFDAC">
            <w:pPr>
              <w:widowControl/>
              <w:spacing w:line="360" w:lineRule="exact"/>
              <w:jc w:val="center"/>
              <w:rPr>
                <w:color w:val="auto"/>
                <w:szCs w:val="20"/>
              </w:rPr>
            </w:pPr>
            <w:r>
              <w:rPr>
                <w:rFonts w:hint="eastAsia"/>
                <w:color w:val="auto"/>
                <w:szCs w:val="24"/>
              </w:rPr>
              <w:t>污染物排放量</w:t>
            </w:r>
            <w:r>
              <w:rPr>
                <w:rFonts w:hint="eastAsia"/>
                <w:color w:val="auto"/>
                <w:szCs w:val="20"/>
              </w:rPr>
              <w:t>（</w:t>
            </w:r>
            <w:r>
              <w:rPr>
                <w:color w:val="auto"/>
                <w:szCs w:val="20"/>
              </w:rPr>
              <w:t>t/</w:t>
            </w:r>
            <w:r>
              <w:rPr>
                <w:rFonts w:hint="eastAsia"/>
                <w:color w:val="auto"/>
                <w:szCs w:val="20"/>
              </w:rPr>
              <w:t>a）</w:t>
            </w:r>
          </w:p>
        </w:tc>
        <w:tc>
          <w:tcPr>
            <w:tcW w:w="1231" w:type="dxa"/>
            <w:vAlign w:val="center"/>
          </w:tcPr>
          <w:p w14:paraId="0D0955C2">
            <w:pPr>
              <w:widowControl/>
              <w:spacing w:line="360" w:lineRule="exact"/>
              <w:jc w:val="center"/>
              <w:rPr>
                <w:color w:val="auto"/>
                <w:szCs w:val="20"/>
              </w:rPr>
            </w:pPr>
            <w:r>
              <w:rPr>
                <w:rFonts w:hint="eastAsia"/>
                <w:color w:val="auto"/>
                <w:szCs w:val="20"/>
              </w:rPr>
              <w:t>污水日排放量（</w:t>
            </w:r>
            <w:r>
              <w:rPr>
                <w:color w:val="auto"/>
                <w:szCs w:val="20"/>
              </w:rPr>
              <w:t>t/</w:t>
            </w:r>
            <w:r>
              <w:rPr>
                <w:rFonts w:hint="eastAsia"/>
                <w:color w:val="auto"/>
                <w:szCs w:val="20"/>
              </w:rPr>
              <w:t>d）</w:t>
            </w:r>
          </w:p>
        </w:tc>
        <w:tc>
          <w:tcPr>
            <w:tcW w:w="1153" w:type="dxa"/>
            <w:vAlign w:val="center"/>
          </w:tcPr>
          <w:p w14:paraId="7A8509A7">
            <w:pPr>
              <w:spacing w:line="360" w:lineRule="exact"/>
              <w:jc w:val="center"/>
              <w:rPr>
                <w:color w:val="auto"/>
                <w:szCs w:val="20"/>
              </w:rPr>
            </w:pPr>
            <w:r>
              <w:rPr>
                <w:rFonts w:hint="eastAsia"/>
                <w:color w:val="auto"/>
                <w:szCs w:val="24"/>
              </w:rPr>
              <w:t>污染物日排放量</w:t>
            </w:r>
            <w:r>
              <w:rPr>
                <w:rFonts w:hint="eastAsia"/>
                <w:color w:val="auto"/>
                <w:szCs w:val="20"/>
              </w:rPr>
              <w:t>（</w:t>
            </w:r>
            <w:r>
              <w:rPr>
                <w:color w:val="auto"/>
                <w:szCs w:val="20"/>
              </w:rPr>
              <w:t>t/</w:t>
            </w:r>
            <w:r>
              <w:rPr>
                <w:rFonts w:hint="eastAsia"/>
                <w:color w:val="auto"/>
                <w:szCs w:val="20"/>
              </w:rPr>
              <w:t>d）</w:t>
            </w:r>
          </w:p>
        </w:tc>
      </w:tr>
      <w:tr w14:paraId="04A9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7EE47180">
            <w:pPr>
              <w:widowControl/>
              <w:spacing w:line="360" w:lineRule="exact"/>
              <w:rPr>
                <w:color w:val="auto"/>
                <w:szCs w:val="20"/>
              </w:rPr>
            </w:pPr>
            <w:r>
              <w:rPr>
                <w:rFonts w:hint="eastAsia"/>
                <w:color w:val="auto"/>
                <w:szCs w:val="20"/>
              </w:rPr>
              <w:t>入河排污口合计</w:t>
            </w:r>
          </w:p>
        </w:tc>
      </w:tr>
      <w:tr w14:paraId="3C87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10EFADD3">
            <w:pPr>
              <w:widowControl/>
              <w:spacing w:line="360" w:lineRule="exact"/>
              <w:jc w:val="center"/>
              <w:rPr>
                <w:rFonts w:hint="default" w:ascii="Times New Roman" w:hAnsi="Times New Roman" w:eastAsia="宋体" w:cs="Times New Roman"/>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化学需氧量</w:t>
            </w:r>
          </w:p>
        </w:tc>
        <w:tc>
          <w:tcPr>
            <w:tcW w:w="1259" w:type="dxa"/>
            <w:shd w:val="clear" w:color="auto" w:fill="auto"/>
            <w:vAlign w:val="center"/>
          </w:tcPr>
          <w:p w14:paraId="0A5E802B">
            <w:pPr>
              <w:widowControl/>
              <w:spacing w:line="360" w:lineRule="exact"/>
              <w:jc w:val="center"/>
              <w:rPr>
                <w:rFonts w:hint="eastAsia"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50</w:t>
            </w:r>
          </w:p>
        </w:tc>
        <w:tc>
          <w:tcPr>
            <w:tcW w:w="1151" w:type="dxa"/>
            <w:gridSpan w:val="2"/>
            <w:vMerge w:val="restart"/>
            <w:shd w:val="clear" w:color="auto" w:fill="auto"/>
            <w:vAlign w:val="center"/>
          </w:tcPr>
          <w:p w14:paraId="5DE125FA">
            <w:pPr>
              <w:widowControl/>
              <w:spacing w:line="360" w:lineRule="exact"/>
              <w:jc w:val="center"/>
              <w:rPr>
                <w:rFonts w:hint="default" w:eastAsia="宋体"/>
                <w:color w:val="auto"/>
                <w:szCs w:val="20"/>
                <w:highlight w:val="none"/>
                <w:lang w:val="en-US" w:eastAsia="zh-CN"/>
              </w:rPr>
            </w:pPr>
            <w:r>
              <w:rPr>
                <w:rFonts w:hint="eastAsia"/>
                <w:color w:val="000000" w:themeColor="text1"/>
                <w:szCs w:val="24"/>
                <w:lang w:val="en-US" w:eastAsia="zh-CN"/>
                <w14:textFill>
                  <w14:solidFill>
                    <w14:schemeClr w14:val="tx1"/>
                  </w14:solidFill>
                </w14:textFill>
              </w:rPr>
              <w:t>1095</w:t>
            </w:r>
          </w:p>
        </w:tc>
        <w:tc>
          <w:tcPr>
            <w:tcW w:w="1321" w:type="dxa"/>
            <w:shd w:val="clear" w:color="auto" w:fill="auto"/>
            <w:vAlign w:val="center"/>
          </w:tcPr>
          <w:p w14:paraId="33BE7B36">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s="Times New Roman" w:eastAsiaTheme="minorEastAsia"/>
                <w:color w:val="000000" w:themeColor="text1"/>
                <w:kern w:val="2"/>
                <w:sz w:val="21"/>
                <w:szCs w:val="20"/>
                <w:lang w:val="en-US" w:eastAsia="zh-CN" w:bidi="ar-SA"/>
                <w14:textFill>
                  <w14:solidFill>
                    <w14:schemeClr w14:val="tx1"/>
                  </w14:solidFill>
                </w14:textFill>
              </w:rPr>
              <w:t>92.20785</w:t>
            </w:r>
          </w:p>
        </w:tc>
        <w:tc>
          <w:tcPr>
            <w:tcW w:w="1231" w:type="dxa"/>
            <w:vMerge w:val="restart"/>
            <w:shd w:val="clear" w:color="auto" w:fill="auto"/>
            <w:vAlign w:val="center"/>
          </w:tcPr>
          <w:p w14:paraId="7922E122">
            <w:pPr>
              <w:widowControl/>
              <w:spacing w:line="360" w:lineRule="exact"/>
              <w:jc w:val="center"/>
              <w:rPr>
                <w:rFonts w:hint="default" w:eastAsia="宋体"/>
                <w:color w:val="auto"/>
                <w:szCs w:val="20"/>
                <w:highlight w:val="none"/>
                <w:lang w:val="en-US" w:eastAsia="zh-CN"/>
              </w:rPr>
            </w:pPr>
            <w:r>
              <w:rPr>
                <w:rFonts w:hint="eastAsia" w:eastAsiaTheme="minorEastAsia"/>
                <w:color w:val="000000" w:themeColor="text1"/>
                <w:szCs w:val="20"/>
                <w:lang w:val="en-US" w:eastAsia="zh-CN"/>
                <w14:textFill>
                  <w14:solidFill>
                    <w14:schemeClr w14:val="tx1"/>
                  </w14:solidFill>
                </w14:textFill>
              </w:rPr>
              <w:t>30000</w:t>
            </w:r>
          </w:p>
        </w:tc>
        <w:tc>
          <w:tcPr>
            <w:tcW w:w="1153" w:type="dxa"/>
            <w:shd w:val="clear" w:color="auto" w:fill="auto"/>
            <w:vAlign w:val="center"/>
          </w:tcPr>
          <w:p w14:paraId="039447A5">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s="Times New Roman" w:eastAsiaTheme="minorEastAsia"/>
                <w:color w:val="000000" w:themeColor="text1"/>
                <w:kern w:val="2"/>
                <w:sz w:val="21"/>
                <w:szCs w:val="20"/>
                <w:lang w:val="en-US" w:eastAsia="zh-CN" w:bidi="ar-SA"/>
                <w14:textFill>
                  <w14:solidFill>
                    <w14:schemeClr w14:val="tx1"/>
                  </w14:solidFill>
                </w14:textFill>
              </w:rPr>
              <w:t>0.2526</w:t>
            </w:r>
          </w:p>
        </w:tc>
      </w:tr>
      <w:tr w14:paraId="6B39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6D9D0B1B">
            <w:pPr>
              <w:widowControl/>
              <w:spacing w:line="360" w:lineRule="exact"/>
              <w:jc w:val="center"/>
              <w:rPr>
                <w:rFonts w:hint="eastAsia" w:ascii="Times New Roman" w:hAnsi="Times New Roman" w:eastAsia="宋体" w:cs="Times New Roman"/>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氨氮</w:t>
            </w:r>
          </w:p>
        </w:tc>
        <w:tc>
          <w:tcPr>
            <w:tcW w:w="1259" w:type="dxa"/>
            <w:shd w:val="clear" w:color="auto" w:fill="auto"/>
            <w:vAlign w:val="center"/>
          </w:tcPr>
          <w:p w14:paraId="561D07E3">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5（8）</w:t>
            </w:r>
          </w:p>
        </w:tc>
        <w:tc>
          <w:tcPr>
            <w:tcW w:w="1151" w:type="dxa"/>
            <w:gridSpan w:val="2"/>
            <w:vMerge w:val="continue"/>
            <w:vAlign w:val="center"/>
          </w:tcPr>
          <w:p w14:paraId="2EB42292">
            <w:pPr>
              <w:widowControl/>
              <w:jc w:val="center"/>
              <w:rPr>
                <w:rFonts w:hint="default" w:eastAsia="宋体"/>
                <w:color w:val="auto"/>
                <w:szCs w:val="20"/>
                <w:highlight w:val="none"/>
                <w:lang w:val="en-US" w:eastAsia="zh-CN"/>
              </w:rPr>
            </w:pPr>
          </w:p>
        </w:tc>
        <w:tc>
          <w:tcPr>
            <w:tcW w:w="1321" w:type="dxa"/>
            <w:shd w:val="clear" w:color="auto" w:fill="auto"/>
            <w:vAlign w:val="center"/>
          </w:tcPr>
          <w:p w14:paraId="2988FC47">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s="Times New Roman" w:eastAsiaTheme="minorEastAsia"/>
                <w:color w:val="000000" w:themeColor="text1"/>
                <w:kern w:val="2"/>
                <w:sz w:val="21"/>
                <w:szCs w:val="20"/>
                <w:lang w:val="en-US" w:eastAsia="zh-CN" w:bidi="ar-SA"/>
                <w14:textFill>
                  <w14:solidFill>
                    <w14:schemeClr w14:val="tx1"/>
                  </w14:solidFill>
                </w14:textFill>
              </w:rPr>
              <w:t>9.220785</w:t>
            </w:r>
          </w:p>
        </w:tc>
        <w:tc>
          <w:tcPr>
            <w:tcW w:w="1231" w:type="dxa"/>
            <w:vMerge w:val="continue"/>
            <w:vAlign w:val="center"/>
          </w:tcPr>
          <w:p w14:paraId="000AC0D5">
            <w:pPr>
              <w:widowControl/>
              <w:spacing w:line="360" w:lineRule="exact"/>
              <w:ind w:firstLine="105" w:firstLineChars="50"/>
              <w:jc w:val="center"/>
              <w:rPr>
                <w:rFonts w:hint="eastAsia"/>
                <w:color w:val="auto"/>
                <w:szCs w:val="20"/>
                <w:highlight w:val="none"/>
                <w:lang w:val="en-US" w:eastAsia="zh-CN"/>
              </w:rPr>
            </w:pPr>
          </w:p>
        </w:tc>
        <w:tc>
          <w:tcPr>
            <w:tcW w:w="1153" w:type="dxa"/>
            <w:shd w:val="clear" w:color="auto" w:fill="auto"/>
            <w:vAlign w:val="center"/>
          </w:tcPr>
          <w:p w14:paraId="5B7DFCAA">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s="Times New Roman" w:eastAsiaTheme="minorEastAsia"/>
                <w:color w:val="000000" w:themeColor="text1"/>
                <w:kern w:val="2"/>
                <w:sz w:val="21"/>
                <w:szCs w:val="20"/>
                <w:lang w:val="en-US" w:eastAsia="zh-CN" w:bidi="ar-SA"/>
                <w14:textFill>
                  <w14:solidFill>
                    <w14:schemeClr w14:val="tx1"/>
                  </w14:solidFill>
                </w14:textFill>
              </w:rPr>
              <w:t>0.02526</w:t>
            </w:r>
          </w:p>
        </w:tc>
      </w:tr>
      <w:tr w14:paraId="3F86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shd w:val="clear" w:color="auto" w:fill="auto"/>
            <w:vAlign w:val="center"/>
          </w:tcPr>
          <w:p w14:paraId="5AE38855">
            <w:pPr>
              <w:widowControl/>
              <w:spacing w:line="360" w:lineRule="exact"/>
              <w:rPr>
                <w:rFonts w:hint="default" w:eastAsia="宋体"/>
                <w:color w:val="auto"/>
                <w:szCs w:val="20"/>
                <w:highlight w:val="yellow"/>
                <w:lang w:val="en-US" w:eastAsia="zh-CN"/>
              </w:rPr>
            </w:pPr>
            <w:r>
              <w:rPr>
                <w:rFonts w:hint="eastAsia"/>
                <w:color w:val="auto"/>
                <w:kern w:val="0"/>
                <w:szCs w:val="21"/>
                <w:highlight w:val="none"/>
              </w:rPr>
              <w:t>责任主体</w:t>
            </w:r>
            <w:r>
              <w:rPr>
                <w:rFonts w:hint="eastAsia"/>
                <w:color w:val="auto"/>
                <w:kern w:val="0"/>
                <w:szCs w:val="21"/>
                <w:highlight w:val="none"/>
                <w:lang w:val="en-US" w:eastAsia="zh-CN"/>
              </w:rPr>
              <w:t>1</w:t>
            </w:r>
            <w:r>
              <w:rPr>
                <w:rFonts w:hint="eastAsia"/>
                <w:color w:val="auto"/>
                <w:kern w:val="0"/>
                <w:szCs w:val="21"/>
                <w:highlight w:val="none"/>
              </w:rPr>
              <w:t>：</w:t>
            </w:r>
            <w:r>
              <w:rPr>
                <w:rFonts w:hint="eastAsia"/>
                <w:color w:val="auto"/>
                <w:kern w:val="0"/>
                <w:szCs w:val="21"/>
                <w:lang w:eastAsia="zh-CN"/>
              </w:rPr>
              <w:t>昌图县住房和城乡建设局</w:t>
            </w:r>
          </w:p>
        </w:tc>
      </w:tr>
      <w:tr w14:paraId="25AB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2155A464">
            <w:pPr>
              <w:widowControl/>
              <w:spacing w:line="360" w:lineRule="exact"/>
              <w:jc w:val="center"/>
              <w:rPr>
                <w:rFonts w:hint="default" w:ascii="Times New Roman" w:hAnsi="Times New Roman" w:eastAsia="宋体" w:cs="Times New Roman"/>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化学需氧量</w:t>
            </w:r>
          </w:p>
        </w:tc>
        <w:tc>
          <w:tcPr>
            <w:tcW w:w="1259" w:type="dxa"/>
            <w:shd w:val="clear" w:color="auto" w:fill="auto"/>
            <w:vAlign w:val="center"/>
          </w:tcPr>
          <w:p w14:paraId="1396BF3A">
            <w:pPr>
              <w:widowControl/>
              <w:spacing w:line="360" w:lineRule="exact"/>
              <w:jc w:val="center"/>
              <w:rPr>
                <w:rFonts w:hint="eastAsia"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50</w:t>
            </w:r>
          </w:p>
        </w:tc>
        <w:tc>
          <w:tcPr>
            <w:tcW w:w="1151" w:type="dxa"/>
            <w:gridSpan w:val="2"/>
            <w:vMerge w:val="restart"/>
            <w:shd w:val="clear" w:color="auto" w:fill="auto"/>
            <w:vAlign w:val="center"/>
          </w:tcPr>
          <w:p w14:paraId="2E15C171">
            <w:pPr>
              <w:widowControl/>
              <w:spacing w:line="360" w:lineRule="exact"/>
              <w:jc w:val="center"/>
              <w:rPr>
                <w:rFonts w:hint="default" w:eastAsia="宋体"/>
                <w:color w:val="auto"/>
                <w:szCs w:val="20"/>
                <w:highlight w:val="yellow"/>
                <w:lang w:val="en-US" w:eastAsia="zh-CN"/>
              </w:rPr>
            </w:pPr>
            <w:r>
              <w:rPr>
                <w:rFonts w:hint="eastAsia"/>
                <w:color w:val="000000" w:themeColor="text1"/>
                <w:szCs w:val="24"/>
                <w:lang w:val="en-US" w:eastAsia="zh-CN"/>
                <w14:textFill>
                  <w14:solidFill>
                    <w14:schemeClr w14:val="tx1"/>
                  </w14:solidFill>
                </w14:textFill>
              </w:rPr>
              <w:t>1095</w:t>
            </w:r>
          </w:p>
        </w:tc>
        <w:tc>
          <w:tcPr>
            <w:tcW w:w="1321" w:type="dxa"/>
            <w:shd w:val="clear" w:color="auto" w:fill="auto"/>
            <w:vAlign w:val="center"/>
          </w:tcPr>
          <w:p w14:paraId="1DB39C4C">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s="Times New Roman" w:eastAsiaTheme="minorEastAsia"/>
                <w:color w:val="000000" w:themeColor="text1"/>
                <w:kern w:val="2"/>
                <w:sz w:val="21"/>
                <w:szCs w:val="20"/>
                <w:lang w:val="en-US" w:eastAsia="zh-CN" w:bidi="ar-SA"/>
                <w14:textFill>
                  <w14:solidFill>
                    <w14:schemeClr w14:val="tx1"/>
                  </w14:solidFill>
                </w14:textFill>
              </w:rPr>
              <w:t>92.20785</w:t>
            </w:r>
          </w:p>
        </w:tc>
        <w:tc>
          <w:tcPr>
            <w:tcW w:w="1231" w:type="dxa"/>
            <w:vMerge w:val="restart"/>
            <w:shd w:val="clear" w:color="auto" w:fill="auto"/>
            <w:vAlign w:val="center"/>
          </w:tcPr>
          <w:p w14:paraId="51A521C6">
            <w:pPr>
              <w:widowControl/>
              <w:spacing w:line="360" w:lineRule="exact"/>
              <w:jc w:val="center"/>
              <w:rPr>
                <w:rFonts w:hint="default" w:eastAsia="宋体"/>
                <w:color w:val="auto"/>
                <w:szCs w:val="20"/>
                <w:highlight w:val="yellow"/>
                <w:lang w:val="en-US" w:eastAsia="zh-CN"/>
              </w:rPr>
            </w:pPr>
            <w:r>
              <w:rPr>
                <w:rFonts w:hint="eastAsia" w:eastAsiaTheme="minorEastAsia"/>
                <w:color w:val="000000" w:themeColor="text1"/>
                <w:szCs w:val="20"/>
                <w:lang w:val="en-US" w:eastAsia="zh-CN"/>
                <w14:textFill>
                  <w14:solidFill>
                    <w14:schemeClr w14:val="tx1"/>
                  </w14:solidFill>
                </w14:textFill>
              </w:rPr>
              <w:t>30000</w:t>
            </w:r>
          </w:p>
        </w:tc>
        <w:tc>
          <w:tcPr>
            <w:tcW w:w="1153" w:type="dxa"/>
            <w:shd w:val="clear" w:color="auto" w:fill="auto"/>
            <w:vAlign w:val="center"/>
          </w:tcPr>
          <w:p w14:paraId="7D56E36C">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s="Times New Roman" w:eastAsiaTheme="minorEastAsia"/>
                <w:color w:val="000000" w:themeColor="text1"/>
                <w:kern w:val="2"/>
                <w:sz w:val="21"/>
                <w:szCs w:val="20"/>
                <w:lang w:val="en-US" w:eastAsia="zh-CN" w:bidi="ar-SA"/>
                <w14:textFill>
                  <w14:solidFill>
                    <w14:schemeClr w14:val="tx1"/>
                  </w14:solidFill>
                </w14:textFill>
              </w:rPr>
              <w:t>0.2526</w:t>
            </w:r>
          </w:p>
        </w:tc>
      </w:tr>
      <w:tr w14:paraId="13D3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0" w:type="dxa"/>
            <w:shd w:val="clear" w:color="auto" w:fill="auto"/>
            <w:vAlign w:val="center"/>
          </w:tcPr>
          <w:p w14:paraId="51CA7F9C">
            <w:pPr>
              <w:widowControl/>
              <w:spacing w:line="360" w:lineRule="exact"/>
              <w:jc w:val="center"/>
              <w:rPr>
                <w:rFonts w:hint="eastAsia" w:ascii="Times New Roman" w:hAnsi="Times New Roman" w:eastAsia="宋体" w:cs="Times New Roman"/>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氨氮</w:t>
            </w:r>
          </w:p>
        </w:tc>
        <w:tc>
          <w:tcPr>
            <w:tcW w:w="1259" w:type="dxa"/>
            <w:shd w:val="clear" w:color="auto" w:fill="auto"/>
            <w:vAlign w:val="center"/>
          </w:tcPr>
          <w:p w14:paraId="6087FF6C">
            <w:pPr>
              <w:widowControl/>
              <w:spacing w:line="360" w:lineRule="exact"/>
              <w:jc w:val="center"/>
              <w:rPr>
                <w:rFonts w:hint="default"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olor w:val="000000" w:themeColor="text1"/>
                <w:szCs w:val="20"/>
                <w:lang w:val="en-US" w:eastAsia="zh-CN"/>
                <w14:textFill>
                  <w14:solidFill>
                    <w14:schemeClr w14:val="tx1"/>
                  </w14:solidFill>
                </w14:textFill>
              </w:rPr>
              <w:t>5（8）</w:t>
            </w:r>
          </w:p>
        </w:tc>
        <w:tc>
          <w:tcPr>
            <w:tcW w:w="1151" w:type="dxa"/>
            <w:gridSpan w:val="2"/>
            <w:vMerge w:val="continue"/>
            <w:vAlign w:val="center"/>
          </w:tcPr>
          <w:p w14:paraId="501500DA">
            <w:pPr>
              <w:widowControl/>
              <w:jc w:val="center"/>
              <w:rPr>
                <w:rFonts w:hint="eastAsia"/>
                <w:color w:val="auto"/>
                <w:szCs w:val="24"/>
                <w:highlight w:val="yellow"/>
                <w:lang w:val="en-US" w:eastAsia="zh-CN"/>
              </w:rPr>
            </w:pPr>
          </w:p>
        </w:tc>
        <w:tc>
          <w:tcPr>
            <w:tcW w:w="1321" w:type="dxa"/>
            <w:shd w:val="clear" w:color="auto" w:fill="auto"/>
            <w:vAlign w:val="center"/>
          </w:tcPr>
          <w:p w14:paraId="0D2C10E6">
            <w:pPr>
              <w:widowControl/>
              <w:spacing w:line="360" w:lineRule="exact"/>
              <w:jc w:val="center"/>
              <w:rPr>
                <w:rFonts w:hint="eastAsia"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s="Times New Roman" w:eastAsiaTheme="minorEastAsia"/>
                <w:color w:val="000000" w:themeColor="text1"/>
                <w:kern w:val="2"/>
                <w:sz w:val="21"/>
                <w:szCs w:val="20"/>
                <w:lang w:val="en-US" w:eastAsia="zh-CN" w:bidi="ar-SA"/>
                <w14:textFill>
                  <w14:solidFill>
                    <w14:schemeClr w14:val="tx1"/>
                  </w14:solidFill>
                </w14:textFill>
              </w:rPr>
              <w:t>9.220785</w:t>
            </w:r>
          </w:p>
        </w:tc>
        <w:tc>
          <w:tcPr>
            <w:tcW w:w="1231" w:type="dxa"/>
            <w:vMerge w:val="continue"/>
            <w:vAlign w:val="center"/>
          </w:tcPr>
          <w:p w14:paraId="0E3CFD16">
            <w:pPr>
              <w:widowControl/>
              <w:spacing w:line="360" w:lineRule="exact"/>
              <w:ind w:firstLine="105" w:firstLineChars="50"/>
              <w:jc w:val="center"/>
              <w:rPr>
                <w:rFonts w:hint="eastAsia"/>
                <w:color w:val="auto"/>
                <w:szCs w:val="20"/>
                <w:highlight w:val="yellow"/>
                <w:lang w:val="en-US" w:eastAsia="zh-CN"/>
              </w:rPr>
            </w:pPr>
          </w:p>
        </w:tc>
        <w:tc>
          <w:tcPr>
            <w:tcW w:w="1153" w:type="dxa"/>
            <w:shd w:val="clear" w:color="auto" w:fill="auto"/>
            <w:vAlign w:val="center"/>
          </w:tcPr>
          <w:p w14:paraId="7B4D7376">
            <w:pPr>
              <w:widowControl/>
              <w:spacing w:line="360" w:lineRule="exact"/>
              <w:jc w:val="center"/>
              <w:rPr>
                <w:rFonts w:hint="eastAsia" w:ascii="Times New Roman" w:hAnsi="Times New Roman" w:cs="Times New Roman" w:eastAsiaTheme="minorEastAsia"/>
                <w:color w:val="000000" w:themeColor="text1"/>
                <w:kern w:val="2"/>
                <w:sz w:val="21"/>
                <w:szCs w:val="20"/>
                <w:lang w:val="en-US" w:eastAsia="zh-CN" w:bidi="ar-SA"/>
                <w14:textFill>
                  <w14:solidFill>
                    <w14:schemeClr w14:val="tx1"/>
                  </w14:solidFill>
                </w14:textFill>
              </w:rPr>
            </w:pPr>
            <w:r>
              <w:rPr>
                <w:rFonts w:hint="eastAsia" w:cs="Times New Roman" w:eastAsiaTheme="minorEastAsia"/>
                <w:color w:val="000000" w:themeColor="text1"/>
                <w:kern w:val="2"/>
                <w:sz w:val="21"/>
                <w:szCs w:val="20"/>
                <w:lang w:val="en-US" w:eastAsia="zh-CN" w:bidi="ar-SA"/>
                <w14:textFill>
                  <w14:solidFill>
                    <w14:schemeClr w14:val="tx1"/>
                  </w14:solidFill>
                </w14:textFill>
              </w:rPr>
              <w:t>0.02526</w:t>
            </w:r>
          </w:p>
        </w:tc>
      </w:tr>
      <w:tr w14:paraId="6774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tcPr>
          <w:p w14:paraId="0123E1C6">
            <w:pPr>
              <w:widowControl/>
              <w:snapToGrid w:val="0"/>
              <w:spacing w:line="360" w:lineRule="exact"/>
              <w:rPr>
                <w:color w:val="auto"/>
                <w:szCs w:val="20"/>
              </w:rPr>
            </w:pPr>
            <w:r>
              <w:rPr>
                <w:rFonts w:hint="eastAsia"/>
                <w:color w:val="auto"/>
                <w:szCs w:val="20"/>
              </w:rPr>
              <w:t>信息公开要求：</w:t>
            </w:r>
          </w:p>
          <w:p w14:paraId="2532D82E">
            <w:pPr>
              <w:pStyle w:val="10"/>
              <w:widowControl/>
              <w:snapToGrid w:val="0"/>
              <w:spacing w:line="360" w:lineRule="exact"/>
              <w:ind w:left="0" w:firstLine="420" w:firstLineChars="200"/>
              <w:jc w:val="both"/>
              <w:rPr>
                <w:color w:val="auto"/>
                <w:lang w:eastAsia="zh-CN"/>
              </w:rPr>
            </w:pPr>
            <w:r>
              <w:rPr>
                <w:rFonts w:hint="eastAsia" w:ascii="Times New Roman" w:hAnsi="Times New Roman" w:eastAsia="宋体"/>
                <w:color w:val="auto"/>
                <w:kern w:val="2"/>
                <w:sz w:val="21"/>
                <w:szCs w:val="22"/>
                <w:lang w:eastAsia="zh-CN"/>
              </w:rPr>
              <w:t>根据《入河排污口监督管理办法》以及HJ</w:t>
            </w:r>
            <w:r>
              <w:rPr>
                <w:rFonts w:ascii="Times New Roman" w:hAnsi="Times New Roman" w:eastAsia="宋体"/>
                <w:color w:val="auto"/>
                <w:kern w:val="2"/>
                <w:sz w:val="21"/>
                <w:szCs w:val="22"/>
                <w:lang w:eastAsia="zh-CN"/>
              </w:rPr>
              <w:t>1386</w:t>
            </w:r>
            <w:r>
              <w:rPr>
                <w:rFonts w:hint="eastAsia" w:ascii="Times New Roman" w:hAnsi="Times New Roman" w:eastAsia="宋体"/>
                <w:color w:val="auto"/>
                <w:kern w:val="2"/>
                <w:sz w:val="21"/>
                <w:szCs w:val="22"/>
                <w:lang w:eastAsia="zh-CN"/>
              </w:rPr>
              <w:t>标准要求，该入河排污口的</w:t>
            </w:r>
            <w:r>
              <w:rPr>
                <w:rFonts w:hint="eastAsia" w:ascii="Times New Roman" w:hAnsi="Times New Roman" w:eastAsia="宋体"/>
                <w:color w:val="auto"/>
                <w:kern w:val="2"/>
                <w:sz w:val="21"/>
                <w:szCs w:val="22"/>
                <w:u w:val="single"/>
                <w:lang w:val="en-US" w:eastAsia="zh-CN"/>
              </w:rPr>
              <w:t xml:space="preserve">  </w:t>
            </w:r>
            <w:r>
              <w:rPr>
                <w:rFonts w:hint="eastAsia" w:ascii="Times New Roman" w:hAnsi="Times New Roman" w:eastAsia="宋体"/>
                <w:color w:val="auto"/>
                <w:kern w:val="2"/>
                <w:sz w:val="21"/>
                <w:szCs w:val="22"/>
                <w:u w:val="single"/>
                <w:lang w:eastAsia="zh-CN"/>
              </w:rPr>
              <w:t>地理坐标、污染物种类</w:t>
            </w:r>
            <w:r>
              <w:rPr>
                <w:rFonts w:ascii="Times New Roman" w:hAnsi="Times New Roman" w:eastAsia="宋体"/>
                <w:color w:val="auto"/>
                <w:kern w:val="2"/>
                <w:sz w:val="21"/>
                <w:szCs w:val="22"/>
                <w:lang w:eastAsia="zh-CN"/>
              </w:rPr>
              <w:t>_</w:t>
            </w:r>
            <w:r>
              <w:rPr>
                <w:rFonts w:hint="eastAsia" w:ascii="Times New Roman" w:hAnsi="Times New Roman" w:eastAsia="宋体"/>
                <w:color w:val="auto"/>
                <w:kern w:val="2"/>
                <w:sz w:val="21"/>
                <w:szCs w:val="22"/>
                <w:lang w:eastAsia="zh-CN"/>
              </w:rPr>
              <w:t>等信息应以</w:t>
            </w:r>
            <w:r>
              <w:rPr>
                <w:rFonts w:hint="eastAsia" w:ascii="Times New Roman" w:hAnsi="Times New Roman" w:eastAsia="宋体"/>
                <w:color w:val="auto"/>
                <w:kern w:val="2"/>
                <w:sz w:val="21"/>
                <w:szCs w:val="22"/>
                <w:lang w:eastAsia="zh-CN"/>
              </w:rPr>
              <w:sym w:font="Wingdings" w:char="00FE"/>
            </w:r>
            <w:r>
              <w:rPr>
                <w:rFonts w:hint="eastAsia" w:ascii="Times New Roman" w:hAnsi="Times New Roman" w:eastAsia="宋体"/>
                <w:color w:val="auto"/>
                <w:kern w:val="2"/>
                <w:sz w:val="21"/>
                <w:szCs w:val="22"/>
                <w:lang w:eastAsia="zh-CN"/>
              </w:rPr>
              <w:t>标识牌</w:t>
            </w:r>
            <w:r>
              <w:rPr>
                <w:rFonts w:ascii="Times New Roman" w:hAnsi="Times New Roman" w:eastAsia="宋体"/>
                <w:color w:val="auto"/>
                <w:kern w:val="2"/>
                <w:sz w:val="21"/>
                <w:szCs w:val="22"/>
                <w:lang w:eastAsia="zh-CN"/>
              </w:rPr>
              <w:sym w:font="Wingdings 2" w:char="00A3"/>
            </w:r>
            <w:r>
              <w:rPr>
                <w:rFonts w:hint="eastAsia" w:ascii="Times New Roman" w:hAnsi="Times New Roman" w:eastAsia="宋体"/>
                <w:color w:val="auto"/>
                <w:kern w:val="2"/>
                <w:sz w:val="21"/>
                <w:szCs w:val="22"/>
                <w:lang w:eastAsia="zh-CN"/>
              </w:rPr>
              <w:t>/二维码/</w:t>
            </w:r>
            <w:r>
              <w:rPr>
                <w:rFonts w:ascii="Times New Roman" w:hAnsi="Times New Roman" w:eastAsia="宋体"/>
                <w:color w:val="auto"/>
                <w:kern w:val="2"/>
                <w:sz w:val="21"/>
                <w:szCs w:val="22"/>
                <w:lang w:eastAsia="zh-CN"/>
              </w:rPr>
              <w:sym w:font="Wingdings 2" w:char="00A3"/>
            </w:r>
            <w:r>
              <w:rPr>
                <w:rFonts w:hint="eastAsia" w:ascii="Times New Roman" w:hAnsi="Times New Roman" w:eastAsia="宋体"/>
                <w:color w:val="auto"/>
                <w:kern w:val="2"/>
                <w:sz w:val="21"/>
                <w:szCs w:val="22"/>
                <w:lang w:eastAsia="zh-CN"/>
              </w:rPr>
              <w:t>显示屏</w:t>
            </w:r>
            <w:r>
              <w:rPr>
                <w:rFonts w:ascii="Times New Roman" w:hAnsi="Times New Roman" w:eastAsia="宋体"/>
                <w:color w:val="auto"/>
                <w:kern w:val="2"/>
                <w:sz w:val="21"/>
                <w:szCs w:val="22"/>
                <w:lang w:eastAsia="zh-CN"/>
              </w:rPr>
              <w:sym w:font="Wingdings 2" w:char="00A3"/>
            </w:r>
            <w:r>
              <w:rPr>
                <w:rFonts w:ascii="Times New Roman" w:hAnsi="Times New Roman" w:eastAsia="宋体"/>
                <w:color w:val="auto"/>
                <w:kern w:val="2"/>
                <w:sz w:val="21"/>
                <w:szCs w:val="22"/>
                <w:lang w:eastAsia="zh-CN"/>
              </w:rPr>
              <w:t>_______</w:t>
            </w:r>
            <w:r>
              <w:rPr>
                <w:rFonts w:hint="eastAsia" w:ascii="Times New Roman" w:hAnsi="Times New Roman" w:eastAsia="宋体"/>
                <w:color w:val="auto"/>
                <w:kern w:val="2"/>
                <w:sz w:val="21"/>
                <w:szCs w:val="22"/>
                <w:lang w:eastAsia="zh-CN"/>
              </w:rPr>
              <w:t>等方式在入河排污口处信息公开。</w:t>
            </w:r>
          </w:p>
        </w:tc>
      </w:tr>
      <w:tr w14:paraId="7D26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945" w:type="dxa"/>
            <w:gridSpan w:val="7"/>
            <w:vAlign w:val="center"/>
          </w:tcPr>
          <w:p w14:paraId="3C1D1A81">
            <w:pPr>
              <w:widowControl/>
              <w:snapToGrid w:val="0"/>
              <w:spacing w:line="360" w:lineRule="exact"/>
              <w:rPr>
                <w:color w:val="auto"/>
                <w:szCs w:val="20"/>
              </w:rPr>
            </w:pPr>
            <w:r>
              <w:rPr>
                <w:rFonts w:hint="eastAsia"/>
                <w:color w:val="auto"/>
                <w:szCs w:val="20"/>
              </w:rPr>
              <w:t>水污染事故应急处理预案以及环境风险防范措施：</w:t>
            </w:r>
          </w:p>
          <w:p w14:paraId="026B66AA">
            <w:pPr>
              <w:snapToGrid w:val="0"/>
              <w:spacing w:line="360" w:lineRule="exact"/>
              <w:ind w:firstLine="420" w:firstLineChars="200"/>
              <w:rPr>
                <w:color w:val="auto"/>
              </w:rPr>
            </w:pPr>
            <w:r>
              <w:rPr>
                <w:rFonts w:hint="eastAsia"/>
                <w:color w:val="auto"/>
              </w:rPr>
              <w:t>该入河排污口对应的责任主体</w:t>
            </w:r>
            <w:r>
              <w:rPr>
                <w:rFonts w:hint="eastAsia"/>
                <w:color w:val="auto"/>
                <w:u w:val="single"/>
              </w:rPr>
              <w:t>昌图县住房和城乡建设局</w:t>
            </w:r>
            <w:r>
              <w:rPr>
                <w:rFonts w:hint="eastAsia"/>
                <w:color w:val="auto"/>
              </w:rPr>
              <w:t>应当按照排污单位有关要求，做好污染事故应急处理预案、环境风险防范及应急处置措施，具体包括：</w:t>
            </w:r>
          </w:p>
          <w:p w14:paraId="32CE0A2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bookmarkStart w:id="3" w:name="_Toc26809_WPSOffice_Level2"/>
            <w:bookmarkStart w:id="4" w:name="_Toc11921"/>
            <w:r>
              <w:rPr>
                <w:rFonts w:hint="default" w:ascii="Times New Roman" w:hAnsi="Times New Roman" w:eastAsia="宋体" w:cs="Times New Roman"/>
                <w:b/>
                <w:bCs/>
                <w:color w:val="auto"/>
                <w:sz w:val="21"/>
                <w:szCs w:val="21"/>
                <w:highlight w:val="none"/>
                <w:lang w:val="en-US" w:eastAsia="zh-CN"/>
              </w:rPr>
              <w:t>1</w:t>
            </w:r>
            <w:bookmarkEnd w:id="3"/>
            <w:bookmarkEnd w:id="4"/>
            <w:bookmarkStart w:id="5" w:name="_Toc14238_WPSOffice_Level2"/>
            <w:bookmarkStart w:id="6" w:name="_Toc18739"/>
            <w:r>
              <w:rPr>
                <w:rFonts w:hint="default" w:ascii="Times New Roman" w:hAnsi="Times New Roman" w:eastAsia="宋体" w:cs="Times New Roman"/>
                <w:b/>
                <w:bCs/>
                <w:color w:val="auto"/>
                <w:sz w:val="21"/>
                <w:szCs w:val="21"/>
                <w:highlight w:val="none"/>
                <w:lang w:val="en-US" w:eastAsia="zh-CN"/>
              </w:rPr>
              <w:t>、风险事故成因分析</w:t>
            </w:r>
          </w:p>
          <w:p w14:paraId="748EC75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污水处理工程运行中比较常见事故情况主要包括以下情形：</w:t>
            </w:r>
          </w:p>
          <w:p w14:paraId="477C5AF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（1）运行异常</w:t>
            </w:r>
          </w:p>
          <w:p w14:paraId="7119A44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污水处理设备运行异常，通常是因机械故障、设备损坏，以及进水水质恶化等原因导致。</w:t>
            </w:r>
          </w:p>
          <w:p w14:paraId="741490A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2"/>
                <w:sz w:val="21"/>
                <w:szCs w:val="21"/>
                <w:lang w:val="en-US" w:eastAsia="zh-CN" w:bidi="ar-SA"/>
              </w:rPr>
              <w:t>1）</w:t>
            </w:r>
            <w:r>
              <w:rPr>
                <w:rFonts w:hint="default" w:ascii="Times New Roman" w:hAnsi="Times New Roman" w:eastAsia="宋体" w:cs="Times New Roman"/>
                <w:b w:val="0"/>
                <w:bCs w:val="0"/>
                <w:color w:val="auto"/>
                <w:sz w:val="21"/>
                <w:szCs w:val="21"/>
                <w:highlight w:val="none"/>
                <w:lang w:val="en-US" w:eastAsia="zh-CN"/>
              </w:rPr>
              <w:t>机械故障是比较常见的现象。污水处理设备进水杂物处理不彻底，导致机械故障是主因，因此需要及时对拦污格栅进行清理、维护、更新，避免杂物进入后期处理系统，影响系统正常运行。</w:t>
            </w:r>
          </w:p>
          <w:p w14:paraId="415C8EF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2）设备运行中磨损、老化、损坏是设备故障的主要原因，需要加强设备维护、保养，对老旧设备进行更新，保障设备正常运行。</w:t>
            </w:r>
          </w:p>
          <w:p w14:paraId="47B66ED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污水管网服务范围内污水来源发生变化，导致进水水质异常，是极难控制的。影响因素，因此进水水质监测是很重要的。当出现水质异常时，要及时对服务范围内异常污水来源进行调查，及时进行处置。同时在发现进水水质异常后，对出水进行控制，一般可利用水泵将不达标出水回流到进水泵房，重新进行处理，并关闭出水水阀，防止超标尾水排至纳污水体。</w:t>
            </w:r>
          </w:p>
          <w:p w14:paraId="5CE6933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（2）供电故障</w:t>
            </w:r>
          </w:p>
          <w:p w14:paraId="1674700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供电系统安全是污水处理设备重要保障之一，现行污水处理设备在设计中，对供电方面采取双电路保障，并配备自备电源，因此供电故障处置相对快速，影响时间相对较短，事故后可采取延长污水处理时间的方法对事故期污水进行处理。</w:t>
            </w:r>
          </w:p>
          <w:p w14:paraId="4811BD0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（3）污泥处置不当</w:t>
            </w:r>
          </w:p>
          <w:p w14:paraId="4F11F81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当污泥脱水系统遇到故障，长时间不能恢复生产时，要及时对污泥按照相关技术规定进行妥善处理。如不妥善处置，不仅会影响污水处理系统正常运行，而且会造成环境污染。</w:t>
            </w:r>
          </w:p>
          <w:p w14:paraId="404C424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（4）自然灾害</w:t>
            </w:r>
          </w:p>
          <w:p w14:paraId="22167F3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台风、暴雨、雷击等自然灾害易造成污水处理系统电力中断、站房坍塌、设备损坏、进水异常等事故，可能导致污水处理系统运行异常或停止运行，造成污染事故。</w:t>
            </w:r>
          </w:p>
          <w:p w14:paraId="6400BD3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（5）火灾影响</w:t>
            </w:r>
          </w:p>
          <w:p w14:paraId="73DD519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污水处理设施因长期运行，易出现电路老化而诱发火灾，从而导致污水处理站运行中断，引发环境污染事故。</w:t>
            </w:r>
          </w:p>
          <w:p w14:paraId="62890D5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lang w:val="en-US" w:eastAsia="en-US"/>
              </w:rPr>
              <w:t>事故防范措施及对策</w:t>
            </w:r>
            <w:bookmarkEnd w:id="5"/>
            <w:bookmarkEnd w:id="6"/>
          </w:p>
          <w:p w14:paraId="613364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（1）设备故障时应急预防措施</w:t>
            </w:r>
          </w:p>
          <w:p w14:paraId="77C8F0C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1）为使在事故状态下污水处理设备仪表等设备正常运转，必须选择质量优良、事故率低、便于维修的产品。关键设备应有备用，易损部件也要有备用，在事故出现时做到及时更换。</w:t>
            </w:r>
          </w:p>
          <w:p w14:paraId="2D38D12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2）为使在事故状态下污水处理设备能够迅速恢复正常运行，应在主要水工建筑物的容积上留有相应的缓冲能力，并配有相应的设备（如回流泵、回流管道、阀门等）。</w:t>
            </w:r>
          </w:p>
          <w:p w14:paraId="558F78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3）加强事故隐患监控，定期巡检、调节、保养、维修。及时发现有可能引起事故的异常运行苗头，消除事故隐患。</w:t>
            </w:r>
          </w:p>
          <w:p w14:paraId="4D5294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严格控制处理单元的水量、水质、停留时间、负荷强度等工艺参数，确保处理效果的稳定性。配备流量、水质自动分析监控仪器，定期取样监测。操作人员及时调整，使设备处于最佳工况。如发现不正常现象，就需立即采取预防措施。</w:t>
            </w:r>
          </w:p>
          <w:p w14:paraId="2A084B2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5）污水处理设备在发生事故、检修等特殊情况下，应立即停产并关闭出水阀门，防止污水进入排污管道和外环境中，避免污水未经处理外排造成严重的污染事件。</w:t>
            </w:r>
          </w:p>
          <w:p w14:paraId="1C0DB7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（2）进水水质异常风险防范措施</w:t>
            </w:r>
          </w:p>
          <w:p w14:paraId="7F9AAD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一旦发现进水水质异常，应及时向有关部门反映查明原因，采取有效处理措施，最大限度降低对周围环境及财产造成的危害。</w:t>
            </w:r>
          </w:p>
          <w:p w14:paraId="341CA08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（3）污泥处置过程环境风险防范</w:t>
            </w:r>
          </w:p>
          <w:p w14:paraId="470443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污水处理设备一旦发生污泥非正常排放的事故，应及时进行设备维修，争取在池内存放污泥的限度内修好，并及时投加药剂，如石灰等，防止发生污泥发酵，减少恶臭气体排放。</w:t>
            </w:r>
          </w:p>
          <w:p w14:paraId="237A28C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（4）管道破损泄漏风险防范</w:t>
            </w:r>
          </w:p>
          <w:p w14:paraId="5D5756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1）管道衔接应防止泄漏污染地下水，淤塞应及时疏浚，保证管道通畅。</w:t>
            </w:r>
          </w:p>
          <w:p w14:paraId="074368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2）设立明显的管道标志，防止意外破坏。</w:t>
            </w:r>
          </w:p>
          <w:p w14:paraId="69660A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3）运营期建立定期巡视制度，尤其是运营数年后应加大巡视密度，发现小股泄漏即应更换破损管节，避免爆管更换。</w:t>
            </w:r>
          </w:p>
          <w:p w14:paraId="50CE52B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4）当发生管网爆管、断管、漏水时，必须立即采取措施，对突发地段进行闭管，并及时报告当地有关职能部门。</w:t>
            </w:r>
          </w:p>
          <w:p w14:paraId="18D2784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（5）突发事故消防废水应急处理措施</w:t>
            </w:r>
          </w:p>
          <w:p w14:paraId="325114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火灾时消防废水使用吸附棉条进行吸附，采用沙袋堆放临时围堰，消防废水不会溢出事故源所在场所，通过铲、舀、拖等方式将消防废水收集入塑料废物桶内，围堰内的沉降物、吸附棉条、黄沙均作为危险废物收集处理。</w:t>
            </w:r>
          </w:p>
          <w:p w14:paraId="01CC8C0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bookmarkStart w:id="7" w:name="_Toc29880"/>
            <w:bookmarkStart w:id="8" w:name="_Toc18157_WPSOffice_Level2"/>
            <w:r>
              <w:rPr>
                <w:rFonts w:hint="eastAsia"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pacing w:val="1"/>
                <w:sz w:val="21"/>
                <w:szCs w:val="21"/>
                <w:highlight w:val="none"/>
                <w:lang w:val="en-US" w:eastAsia="en-US" w:bidi="ar-SA"/>
              </w:rPr>
              <w:t>突发事故对策和应急方案</w:t>
            </w:r>
            <w:bookmarkEnd w:id="7"/>
            <w:bookmarkEnd w:id="8"/>
          </w:p>
          <w:p w14:paraId="68A6AB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建设单位突发环境事件应急预案中应包含污水处理系统突发性水污染事故排放情景及应急处置措施，并上报相关主管部门备案。在污水收集、输送和处理过程中，一旦出现突发性事故，必须按预先拟定的方案，进行紧急处理。</w:t>
            </w:r>
          </w:p>
          <w:p w14:paraId="74BBEE8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bookmarkStart w:id="9" w:name="_Toc11002_WPSOffice_Level2"/>
            <w:bookmarkStart w:id="10" w:name="_Toc24046"/>
            <w:r>
              <w:rPr>
                <w:rFonts w:hint="eastAsia"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pacing w:val="1"/>
                <w:sz w:val="21"/>
                <w:szCs w:val="21"/>
                <w:highlight w:val="none"/>
                <w:lang w:val="en-US" w:eastAsia="en-US" w:bidi="ar-SA"/>
              </w:rPr>
              <w:t>建立事故性排放的报告制度</w:t>
            </w:r>
            <w:bookmarkEnd w:id="9"/>
            <w:bookmarkEnd w:id="10"/>
          </w:p>
          <w:p w14:paraId="09386E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一旦事故性排放事件发生，应及时发现和处理，并迅速向当地政府及有关职能部门报告，配合当地政府对事故性排放进行处理，开展污染事故监测工作。做好排污河段水质的应急监测工作，增加监测频次和参数。及时将事故信息通知相关单位，减少事故性排放的社会影响。</w:t>
            </w:r>
          </w:p>
          <w:p w14:paraId="1A3C0D4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11" w:name="_Toc4393"/>
            <w:bookmarkStart w:id="12" w:name="_Toc19164_WPSOffice_Level2"/>
            <w:r>
              <w:rPr>
                <w:rFonts w:hint="eastAsia" w:cs="Times New Roman"/>
                <w:b/>
                <w:bCs/>
                <w:color w:val="auto"/>
                <w:sz w:val="21"/>
                <w:szCs w:val="21"/>
                <w:highlight w:val="none"/>
                <w:lang w:val="en-US" w:eastAsia="zh-CN"/>
              </w:rPr>
              <w:t>5</w:t>
            </w:r>
            <w:r>
              <w:rPr>
                <w:rFonts w:hint="default"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en-US"/>
              </w:rPr>
              <w:t>加强应对事故性排放处理设施设备及物质的准备</w:t>
            </w:r>
            <w:bookmarkEnd w:id="11"/>
            <w:bookmarkEnd w:id="12"/>
          </w:p>
          <w:p w14:paraId="040B78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当污水处理设施出现非正常运行，废水排放超标时，应立即对发生事故的工艺构筑物停止进水，并安排专业技术人员对发生故障的废水处理设施进行故障排查与抢修。工程污水处理设施恢复正常后，将事故废水排入处理设施重新处理。故针对事故性排放，运营单位日常应设置预防性的处理设施设备和储备相应的应急物质。</w:t>
            </w:r>
          </w:p>
          <w:p w14:paraId="096FD7E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13" w:name="_Toc21588"/>
            <w:bookmarkStart w:id="14" w:name="_Toc16715_WPSOffice_Level2"/>
            <w:r>
              <w:rPr>
                <w:rFonts w:hint="eastAsia" w:cs="Times New Roman"/>
                <w:b/>
                <w:bCs/>
                <w:color w:val="auto"/>
                <w:sz w:val="21"/>
                <w:szCs w:val="21"/>
                <w:highlight w:val="none"/>
                <w:lang w:val="en-US" w:eastAsia="zh-CN"/>
              </w:rPr>
              <w:t>6</w:t>
            </w:r>
            <w:r>
              <w:rPr>
                <w:rFonts w:hint="default"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pacing w:val="1"/>
                <w:sz w:val="21"/>
                <w:szCs w:val="21"/>
                <w:highlight w:val="none"/>
                <w:lang w:val="en-US" w:eastAsia="en-US" w:bidi="ar-SA"/>
              </w:rPr>
              <w:t>建立责任追究机制</w:t>
            </w:r>
            <w:bookmarkEnd w:id="13"/>
            <w:bookmarkEnd w:id="14"/>
          </w:p>
          <w:p w14:paraId="60262A0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color w:val="auto"/>
              </w:rPr>
            </w:pPr>
            <w:r>
              <w:rPr>
                <w:rFonts w:hint="default" w:ascii="Times New Roman" w:hAnsi="Times New Roman" w:eastAsia="宋体" w:cs="Times New Roman"/>
                <w:color w:val="auto"/>
                <w:sz w:val="21"/>
                <w:szCs w:val="21"/>
                <w:highlight w:val="none"/>
                <w:lang w:val="en-US" w:eastAsia="en-US"/>
              </w:rPr>
              <w:t>为避免发生水环境风险事故，必须建立健全科学的责任追究制度。如果发生水环境风险事故，必须按照相关制度进行责任追究，直至述诸法律追责。</w:t>
            </w:r>
          </w:p>
        </w:tc>
      </w:tr>
      <w:tr w14:paraId="22FD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945" w:type="dxa"/>
            <w:gridSpan w:val="7"/>
          </w:tcPr>
          <w:p w14:paraId="2BBD0CF6">
            <w:pPr>
              <w:pStyle w:val="10"/>
              <w:widowControl/>
              <w:snapToGrid w:val="0"/>
              <w:spacing w:line="360" w:lineRule="exact"/>
              <w:ind w:left="0"/>
              <w:jc w:val="both"/>
              <w:rPr>
                <w:color w:val="auto"/>
                <w:lang w:eastAsia="zh-CN"/>
              </w:rPr>
            </w:pPr>
            <w:r>
              <w:rPr>
                <w:rFonts w:hint="eastAsia" w:ascii="Times New Roman" w:hAnsi="Times New Roman" w:eastAsia="宋体"/>
                <w:color w:val="auto"/>
                <w:kern w:val="2"/>
                <w:sz w:val="21"/>
                <w:szCs w:val="22"/>
                <w:lang w:eastAsia="zh-CN"/>
              </w:rPr>
              <w:t>水生态环境保护措施：</w:t>
            </w:r>
          </w:p>
          <w:p w14:paraId="06D74066">
            <w:pPr>
              <w:pStyle w:val="10"/>
              <w:snapToGrid w:val="0"/>
              <w:spacing w:line="360" w:lineRule="exact"/>
              <w:ind w:left="0" w:firstLine="420" w:firstLineChars="200"/>
              <w:jc w:val="both"/>
              <w:rPr>
                <w:rFonts w:hint="eastAsia" w:ascii="Times New Roman" w:hAnsi="Times New Roman" w:eastAsia="宋体"/>
                <w:color w:val="auto"/>
                <w:kern w:val="2"/>
                <w:sz w:val="21"/>
                <w:szCs w:val="22"/>
                <w:lang w:eastAsia="zh-CN"/>
              </w:rPr>
            </w:pPr>
            <w:r>
              <w:rPr>
                <w:rFonts w:hint="eastAsia" w:ascii="Times New Roman" w:hAnsi="Times New Roman" w:eastAsia="宋体"/>
                <w:color w:val="auto"/>
                <w:kern w:val="2"/>
                <w:sz w:val="21"/>
                <w:szCs w:val="22"/>
                <w:lang w:eastAsia="zh-CN"/>
              </w:rPr>
              <w:t>为减免该入河排污口设置带来的不利影响，入河排污口设置/使用过程中应当采取监测、巡查、预警等水生态环境保护措施，具体包括：</w:t>
            </w:r>
          </w:p>
          <w:p w14:paraId="65DE44F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zh-CN"/>
              </w:rPr>
            </w:pPr>
            <w:bookmarkStart w:id="15" w:name="_Toc28795"/>
            <w:bookmarkStart w:id="16" w:name="_Toc22695_WPSOffice_Level2"/>
            <w:r>
              <w:rPr>
                <w:rFonts w:hint="default" w:ascii="Times New Roman" w:hAnsi="Times New Roman" w:eastAsia="宋体" w:cs="Times New Roman"/>
                <w:b/>
                <w:bCs/>
                <w:color w:val="auto"/>
                <w:sz w:val="21"/>
                <w:szCs w:val="21"/>
                <w:highlight w:val="none"/>
                <w:lang w:val="en-US" w:eastAsia="zh-CN"/>
              </w:rPr>
              <w:t>1、</w:t>
            </w:r>
            <w:bookmarkEnd w:id="15"/>
            <w:bookmarkEnd w:id="16"/>
            <w:r>
              <w:rPr>
                <w:rFonts w:hint="default" w:ascii="Times New Roman" w:hAnsi="Times New Roman" w:eastAsia="宋体" w:cs="Times New Roman"/>
                <w:b/>
                <w:bCs/>
                <w:color w:val="auto"/>
                <w:sz w:val="21"/>
                <w:szCs w:val="21"/>
                <w:highlight w:val="none"/>
                <w:lang w:val="en-US" w:eastAsia="zh-CN"/>
              </w:rPr>
              <w:t>入河排污口规范化建设</w:t>
            </w:r>
          </w:p>
          <w:p w14:paraId="134B71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根据《入河入海排污口监督管理技术指南 入河排污口规范化建设》（HJ 1309-2023）文件要求，对排污口进行规范化建设。</w:t>
            </w:r>
          </w:p>
          <w:p w14:paraId="2B48B9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①监测采样点设置</w:t>
            </w:r>
          </w:p>
          <w:p w14:paraId="5E4B4A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监测采样点设置在废水排放口，根据排污口入河方式和污水量大小，选择适宜的监测采样点设置形式。监测采样点设置应考虑实际采样的可行性和便利性。污水排放管道或渠道监测断面应为矩形、圆形、梯形等规则形状。测流段水流应平直、稳定、有一定水位高度。</w:t>
            </w:r>
          </w:p>
          <w:p w14:paraId="5D4073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②标识牌设置</w:t>
            </w:r>
          </w:p>
          <w:p w14:paraId="207AA8B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标识牌设置在污水入河处或监测采样点等位置，便于公众监督。</w:t>
            </w:r>
          </w:p>
          <w:p w14:paraId="6C5BDE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标识牌公示信息包含但不限于排污口名称、编码、类型、管理单位、责任主体、监督电话等，可根据实际需求采用文字或二维码等形式展示。标识牌可选用立柱式、平面式等。</w:t>
            </w:r>
          </w:p>
          <w:p w14:paraId="17BD51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标识牌应具有耐候、耐腐蚀等理化性能，保证一定的使用寿命。</w:t>
            </w:r>
          </w:p>
          <w:p w14:paraId="17804F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标识牌公示信息发生变化的，责任主体应及时更新或更换标识牌。</w:t>
            </w:r>
          </w:p>
          <w:p w14:paraId="4D6BFF93">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17" w:name="_Toc4851"/>
            <w:bookmarkStart w:id="18" w:name="_Toc29447_WPSOffice_Level2"/>
            <w:r>
              <w:rPr>
                <w:rFonts w:hint="default" w:ascii="Times New Roman" w:hAnsi="Times New Roman" w:eastAsia="宋体" w:cs="Times New Roman"/>
                <w:b/>
                <w:bCs/>
                <w:color w:val="auto"/>
                <w:sz w:val="21"/>
                <w:szCs w:val="21"/>
                <w:highlight w:val="none"/>
                <w:lang w:val="en-US" w:eastAsia="zh-CN"/>
              </w:rPr>
              <w:t>2、</w:t>
            </w:r>
            <w:bookmarkEnd w:id="17"/>
            <w:bookmarkEnd w:id="18"/>
            <w:r>
              <w:rPr>
                <w:rFonts w:hint="default" w:ascii="Times New Roman" w:hAnsi="Times New Roman" w:eastAsia="宋体" w:cs="Times New Roman"/>
                <w:b/>
                <w:bCs/>
                <w:color w:val="auto"/>
                <w:sz w:val="21"/>
                <w:szCs w:val="21"/>
                <w:highlight w:val="none"/>
                <w:lang w:val="en-US" w:eastAsia="zh-CN"/>
              </w:rPr>
              <w:t>建立信息报送制度</w:t>
            </w:r>
          </w:p>
          <w:p w14:paraId="4BEE482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入河排污口设置单位定期向行政主管部门如实报送上一年度入河排污口有关情况的报表。行政主管部门每年按照规定的审批权限，对排污口开展监督性检查和年审工作，不定期组织排污口第三方监督性监测，并向上级行政主管部门报告排水水质、水量及污染物排放状况的统计报表。</w:t>
            </w:r>
          </w:p>
          <w:p w14:paraId="435FFE2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422" w:firstLineChars="200"/>
              <w:textAlignment w:val="auto"/>
              <w:outlineLvl w:val="9"/>
              <w:rPr>
                <w:rFonts w:hint="default" w:ascii="Times New Roman" w:hAnsi="Times New Roman" w:eastAsia="宋体" w:cs="Times New Roman"/>
                <w:b/>
                <w:bCs/>
                <w:color w:val="auto"/>
                <w:sz w:val="21"/>
                <w:szCs w:val="21"/>
                <w:highlight w:val="none"/>
                <w:lang w:val="en-US" w:eastAsia="en-US"/>
              </w:rPr>
            </w:pPr>
            <w:bookmarkStart w:id="19" w:name="_Toc9878"/>
            <w:bookmarkStart w:id="20" w:name="_Toc15332_WPSOffice_Level2"/>
            <w:r>
              <w:rPr>
                <w:rFonts w:hint="default" w:ascii="Times New Roman" w:hAnsi="Times New Roman" w:eastAsia="宋体" w:cs="Times New Roman"/>
                <w:b/>
                <w:bCs/>
                <w:color w:val="auto"/>
                <w:sz w:val="21"/>
                <w:szCs w:val="21"/>
                <w:highlight w:val="none"/>
                <w:lang w:val="en-US" w:eastAsia="zh-CN"/>
              </w:rPr>
              <w:t>3、</w:t>
            </w:r>
            <w:bookmarkEnd w:id="19"/>
            <w:bookmarkEnd w:id="20"/>
            <w:r>
              <w:rPr>
                <w:rFonts w:hint="default" w:ascii="Times New Roman" w:hAnsi="Times New Roman" w:eastAsia="宋体" w:cs="Times New Roman"/>
                <w:b/>
                <w:bCs/>
                <w:color w:val="auto"/>
                <w:sz w:val="21"/>
                <w:szCs w:val="21"/>
                <w:highlight w:val="none"/>
                <w:lang w:val="en-US" w:eastAsia="zh-CN"/>
              </w:rPr>
              <w:t>河流枯水期保护措施</w:t>
            </w:r>
          </w:p>
          <w:p w14:paraId="58C7CB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lang w:val="en-US" w:eastAsia="en-US"/>
              </w:rPr>
              <w:t>纳污河段枯水期流量较小，因此在枯水期本项目更应加强出水水质的监管，尽量通过污水处理系统降低水污染物的排放浓度，进而减轻对河流水质和生态的影响。</w:t>
            </w:r>
          </w:p>
          <w:p w14:paraId="64BA3A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color w:val="auto"/>
                <w:lang w:eastAsia="zh-CN"/>
              </w:rPr>
            </w:pPr>
            <w:r>
              <w:rPr>
                <w:rFonts w:hint="default" w:ascii="Times New Roman" w:hAnsi="Times New Roman" w:eastAsia="宋体" w:cs="Times New Roman"/>
                <w:color w:val="auto"/>
                <w:sz w:val="21"/>
                <w:szCs w:val="21"/>
                <w:highlight w:val="none"/>
                <w:lang w:val="en-US" w:eastAsia="en-US"/>
              </w:rPr>
              <w:t>本项目污水处理厂可根据进水情况，适当增加水力停留时间，以提高污染物处理效率，减少污染物排放量，使出水在达标的基础上，进一步降低污染物排放浓度</w:t>
            </w:r>
            <w:r>
              <w:rPr>
                <w:rFonts w:hint="eastAsia" w:ascii="Times New Roman" w:hAnsi="Times New Roman" w:eastAsia="宋体" w:cs="Times New Roman"/>
                <w:color w:val="auto"/>
                <w:sz w:val="21"/>
                <w:szCs w:val="21"/>
                <w:highlight w:val="none"/>
                <w:lang w:val="en-US" w:eastAsia="zh-CN"/>
              </w:rPr>
              <w:t>。</w:t>
            </w:r>
          </w:p>
        </w:tc>
      </w:tr>
      <w:tr w14:paraId="0B81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945" w:type="dxa"/>
            <w:gridSpan w:val="7"/>
          </w:tcPr>
          <w:p w14:paraId="75380442">
            <w:pPr>
              <w:pStyle w:val="10"/>
              <w:snapToGrid w:val="0"/>
              <w:spacing w:before="0" w:line="360" w:lineRule="exact"/>
              <w:ind w:left="0"/>
              <w:jc w:val="both"/>
              <w:rPr>
                <w:color w:val="auto"/>
                <w:lang w:eastAsia="zh-CN"/>
              </w:rPr>
            </w:pPr>
            <w:r>
              <w:rPr>
                <w:rFonts w:hint="eastAsia" w:ascii="Times New Roman" w:hAnsi="Times New Roman" w:eastAsia="宋体"/>
                <w:color w:val="auto"/>
                <w:kern w:val="2"/>
                <w:sz w:val="21"/>
                <w:szCs w:val="22"/>
                <w:lang w:eastAsia="zh-CN"/>
              </w:rPr>
              <w:t>放射性物质管控措施（仅排放放射性物质的入河排污口需要记载）：</w:t>
            </w:r>
          </w:p>
          <w:p w14:paraId="02B5119E">
            <w:pPr>
              <w:widowControl/>
              <w:snapToGrid w:val="0"/>
              <w:spacing w:line="360" w:lineRule="exact"/>
              <w:rPr>
                <w:color w:val="auto"/>
                <w:szCs w:val="20"/>
              </w:rPr>
            </w:pPr>
          </w:p>
        </w:tc>
      </w:tr>
      <w:tr w14:paraId="5AC6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5" w:type="dxa"/>
            <w:gridSpan w:val="7"/>
          </w:tcPr>
          <w:p w14:paraId="53A74A90">
            <w:pPr>
              <w:widowControl/>
              <w:snapToGrid w:val="0"/>
              <w:spacing w:line="360" w:lineRule="exact"/>
              <w:rPr>
                <w:color w:val="auto"/>
                <w:kern w:val="0"/>
                <w:szCs w:val="21"/>
              </w:rPr>
            </w:pPr>
            <w:r>
              <w:rPr>
                <w:rFonts w:hint="eastAsia"/>
                <w:color w:val="auto"/>
                <w:kern w:val="0"/>
                <w:szCs w:val="21"/>
              </w:rPr>
              <w:t>其他需要注意的事项：</w:t>
            </w:r>
          </w:p>
          <w:p w14:paraId="09AA7155">
            <w:pPr>
              <w:pStyle w:val="10"/>
              <w:widowControl/>
              <w:snapToGrid w:val="0"/>
              <w:spacing w:line="360" w:lineRule="exact"/>
              <w:ind w:left="0" w:firstLine="420" w:firstLineChars="200"/>
              <w:rPr>
                <w:color w:val="auto"/>
              </w:rPr>
            </w:pPr>
            <w:r>
              <w:rPr>
                <w:rFonts w:hint="eastAsia" w:ascii="Times New Roman" w:hAnsi="Times New Roman" w:eastAsia="宋体"/>
                <w:color w:val="auto"/>
                <w:kern w:val="2"/>
                <w:sz w:val="21"/>
                <w:szCs w:val="22"/>
                <w:lang w:eastAsia="zh-CN"/>
              </w:rPr>
              <w:t>在满足污染排放要求基础上，应符合相关部门对供水、堤防安全和河势稳定等问题的保护措施要求。</w:t>
            </w:r>
          </w:p>
        </w:tc>
      </w:tr>
    </w:tbl>
    <w:p w14:paraId="2B1C8202">
      <w:pPr>
        <w:adjustRightInd w:val="0"/>
        <w:spacing w:line="360" w:lineRule="exact"/>
        <w:jc w:val="center"/>
        <w:rPr>
          <w:rFonts w:ascii="宋体" w:hAnsi="宋体"/>
          <w:spacing w:val="-5"/>
          <w:szCs w:val="21"/>
        </w:rPr>
      </w:pPr>
      <w:r>
        <w:rPr>
          <w:rFonts w:hint="eastAsia" w:ascii="宋体" w:hAnsi="宋体"/>
          <w:spacing w:val="-5"/>
          <w:szCs w:val="21"/>
        </w:rPr>
        <w:t xml:space="preserve">                                                                     铁岭市生态环境局</w:t>
      </w:r>
    </w:p>
    <w:p w14:paraId="75F14AF6">
      <w:pPr>
        <w:pStyle w:val="10"/>
        <w:spacing w:before="0" w:line="360" w:lineRule="exact"/>
        <w:jc w:val="right"/>
      </w:pPr>
      <w:r>
        <w:rPr>
          <w:rFonts w:hint="eastAsia" w:ascii="宋体" w:hAnsi="宋体" w:eastAsia="宋体"/>
          <w:color w:val="auto"/>
          <w:sz w:val="21"/>
          <w:szCs w:val="21"/>
          <w:highlight w:val="none"/>
          <w:lang w:eastAsia="zh-CN"/>
        </w:rPr>
        <w:t>2025</w:t>
      </w:r>
      <w:r>
        <w:rPr>
          <w:rFonts w:ascii="宋体" w:hAnsi="宋体" w:eastAsia="宋体"/>
          <w:color w:val="auto"/>
          <w:sz w:val="21"/>
          <w:szCs w:val="21"/>
          <w:highlight w:val="none"/>
          <w:lang w:eastAsia="zh-CN"/>
        </w:rPr>
        <w:t xml:space="preserve">年 </w:t>
      </w:r>
      <w:r>
        <w:rPr>
          <w:rFonts w:hint="eastAsia" w:ascii="宋体" w:hAnsi="宋体" w:eastAsia="宋体"/>
          <w:color w:val="auto"/>
          <w:sz w:val="21"/>
          <w:szCs w:val="21"/>
          <w:highlight w:val="none"/>
          <w:lang w:val="en-US" w:eastAsia="zh-CN"/>
        </w:rPr>
        <w:t xml:space="preserve">9 </w:t>
      </w:r>
      <w:r>
        <w:rPr>
          <w:rFonts w:ascii="宋体" w:hAnsi="宋体" w:eastAsia="宋体"/>
          <w:color w:val="auto"/>
          <w:sz w:val="21"/>
          <w:szCs w:val="21"/>
          <w:highlight w:val="none"/>
          <w:lang w:eastAsia="zh-CN"/>
        </w:rPr>
        <w:t xml:space="preserve">月 </w:t>
      </w:r>
      <w:r>
        <w:rPr>
          <w:rFonts w:hint="eastAsia" w:ascii="宋体" w:hAnsi="宋体" w:eastAsia="宋体"/>
          <w:color w:val="auto"/>
          <w:sz w:val="21"/>
          <w:szCs w:val="21"/>
          <w:highlight w:val="none"/>
          <w:lang w:val="en-US" w:eastAsia="zh-CN"/>
        </w:rPr>
        <w:t>3</w:t>
      </w:r>
      <w:r>
        <w:rPr>
          <w:rFonts w:ascii="宋体" w:hAnsi="宋体" w:eastAsia="宋体"/>
          <w:color w:val="auto"/>
          <w:sz w:val="21"/>
          <w:szCs w:val="21"/>
          <w:highlight w:val="none"/>
          <w:lang w:eastAsia="zh-CN"/>
        </w:rPr>
        <w:t>日</w:t>
      </w:r>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FC1AFF7-6FA5-49DA-8BDC-BC6D5FDF9FF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1533FE5-5998-4782-9DEB-FF21D2A6EEB2}"/>
  </w:font>
  <w:font w:name="Calibri Light">
    <w:panose1 w:val="020F03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8E6F7215-5DE7-47EB-B6F2-5DA99DF202FB}"/>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1B06E">
    <w:pPr>
      <w:pStyle w:val="19"/>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38341F"/>
    <w:rsid w:val="0000087D"/>
    <w:rsid w:val="00001675"/>
    <w:rsid w:val="00001952"/>
    <w:rsid w:val="0000195F"/>
    <w:rsid w:val="00002CED"/>
    <w:rsid w:val="0000760B"/>
    <w:rsid w:val="00007B9B"/>
    <w:rsid w:val="000108A6"/>
    <w:rsid w:val="000109D1"/>
    <w:rsid w:val="000164CA"/>
    <w:rsid w:val="00020106"/>
    <w:rsid w:val="000202CC"/>
    <w:rsid w:val="00022605"/>
    <w:rsid w:val="000239FA"/>
    <w:rsid w:val="00023C73"/>
    <w:rsid w:val="0002462E"/>
    <w:rsid w:val="00035945"/>
    <w:rsid w:val="00035FFB"/>
    <w:rsid w:val="00037BFE"/>
    <w:rsid w:val="0004104C"/>
    <w:rsid w:val="000456B0"/>
    <w:rsid w:val="00046312"/>
    <w:rsid w:val="00046E4B"/>
    <w:rsid w:val="00047D45"/>
    <w:rsid w:val="00050910"/>
    <w:rsid w:val="000570AD"/>
    <w:rsid w:val="00063D4A"/>
    <w:rsid w:val="00063E24"/>
    <w:rsid w:val="0006431B"/>
    <w:rsid w:val="000645F7"/>
    <w:rsid w:val="00064A23"/>
    <w:rsid w:val="00064CAD"/>
    <w:rsid w:val="0006547C"/>
    <w:rsid w:val="0006554D"/>
    <w:rsid w:val="00065E55"/>
    <w:rsid w:val="00066683"/>
    <w:rsid w:val="00070107"/>
    <w:rsid w:val="000723AC"/>
    <w:rsid w:val="0007329A"/>
    <w:rsid w:val="00073D84"/>
    <w:rsid w:val="000740BE"/>
    <w:rsid w:val="00074339"/>
    <w:rsid w:val="0008043C"/>
    <w:rsid w:val="00080A7A"/>
    <w:rsid w:val="0008229B"/>
    <w:rsid w:val="0008339B"/>
    <w:rsid w:val="000858B7"/>
    <w:rsid w:val="00086EB7"/>
    <w:rsid w:val="00090BB4"/>
    <w:rsid w:val="00090E8B"/>
    <w:rsid w:val="00092BC3"/>
    <w:rsid w:val="00092EC9"/>
    <w:rsid w:val="000932E5"/>
    <w:rsid w:val="00094CFE"/>
    <w:rsid w:val="00097E60"/>
    <w:rsid w:val="000A0354"/>
    <w:rsid w:val="000A1116"/>
    <w:rsid w:val="000A1941"/>
    <w:rsid w:val="000A20D5"/>
    <w:rsid w:val="000A3B18"/>
    <w:rsid w:val="000A56C5"/>
    <w:rsid w:val="000A733F"/>
    <w:rsid w:val="000B0B10"/>
    <w:rsid w:val="000B0E1D"/>
    <w:rsid w:val="000B40EB"/>
    <w:rsid w:val="000B425F"/>
    <w:rsid w:val="000B7D37"/>
    <w:rsid w:val="000C0EBD"/>
    <w:rsid w:val="000C2596"/>
    <w:rsid w:val="000C73F5"/>
    <w:rsid w:val="000C791B"/>
    <w:rsid w:val="000D41A9"/>
    <w:rsid w:val="000D4844"/>
    <w:rsid w:val="000D495D"/>
    <w:rsid w:val="000D58F0"/>
    <w:rsid w:val="000E5431"/>
    <w:rsid w:val="000E7069"/>
    <w:rsid w:val="000E7359"/>
    <w:rsid w:val="000F02C4"/>
    <w:rsid w:val="000F26D3"/>
    <w:rsid w:val="000F3966"/>
    <w:rsid w:val="000F7896"/>
    <w:rsid w:val="00101518"/>
    <w:rsid w:val="00101B39"/>
    <w:rsid w:val="0010200D"/>
    <w:rsid w:val="00104A25"/>
    <w:rsid w:val="0010562D"/>
    <w:rsid w:val="00107D19"/>
    <w:rsid w:val="0011040C"/>
    <w:rsid w:val="001118E4"/>
    <w:rsid w:val="0011258B"/>
    <w:rsid w:val="00112A3D"/>
    <w:rsid w:val="00113B5C"/>
    <w:rsid w:val="00114248"/>
    <w:rsid w:val="00117437"/>
    <w:rsid w:val="001204E7"/>
    <w:rsid w:val="00121ACC"/>
    <w:rsid w:val="00121E71"/>
    <w:rsid w:val="00124930"/>
    <w:rsid w:val="00124ACC"/>
    <w:rsid w:val="0012668D"/>
    <w:rsid w:val="0013017A"/>
    <w:rsid w:val="001337C1"/>
    <w:rsid w:val="00133D16"/>
    <w:rsid w:val="00135B59"/>
    <w:rsid w:val="00136F71"/>
    <w:rsid w:val="001379DD"/>
    <w:rsid w:val="001465EE"/>
    <w:rsid w:val="001475F0"/>
    <w:rsid w:val="001530DA"/>
    <w:rsid w:val="00155CC2"/>
    <w:rsid w:val="00161646"/>
    <w:rsid w:val="001617D1"/>
    <w:rsid w:val="0016258F"/>
    <w:rsid w:val="00165903"/>
    <w:rsid w:val="0016591E"/>
    <w:rsid w:val="0016634A"/>
    <w:rsid w:val="001706F9"/>
    <w:rsid w:val="00172935"/>
    <w:rsid w:val="001747DF"/>
    <w:rsid w:val="001756FC"/>
    <w:rsid w:val="0017599F"/>
    <w:rsid w:val="00176AE0"/>
    <w:rsid w:val="001846D2"/>
    <w:rsid w:val="00185FC4"/>
    <w:rsid w:val="001869E6"/>
    <w:rsid w:val="00186EAB"/>
    <w:rsid w:val="0018774A"/>
    <w:rsid w:val="001910F2"/>
    <w:rsid w:val="00194E86"/>
    <w:rsid w:val="0019643E"/>
    <w:rsid w:val="00196F52"/>
    <w:rsid w:val="00197E26"/>
    <w:rsid w:val="001A121D"/>
    <w:rsid w:val="001A345E"/>
    <w:rsid w:val="001A4341"/>
    <w:rsid w:val="001A7CAD"/>
    <w:rsid w:val="001B06D3"/>
    <w:rsid w:val="001B16F3"/>
    <w:rsid w:val="001B19DA"/>
    <w:rsid w:val="001B3822"/>
    <w:rsid w:val="001B3895"/>
    <w:rsid w:val="001B4E2E"/>
    <w:rsid w:val="001B6759"/>
    <w:rsid w:val="001C0C40"/>
    <w:rsid w:val="001C11A8"/>
    <w:rsid w:val="001C3598"/>
    <w:rsid w:val="001C4378"/>
    <w:rsid w:val="001C4996"/>
    <w:rsid w:val="001D7408"/>
    <w:rsid w:val="001E0C56"/>
    <w:rsid w:val="001E0F0D"/>
    <w:rsid w:val="001E1682"/>
    <w:rsid w:val="001E33D5"/>
    <w:rsid w:val="001E423E"/>
    <w:rsid w:val="001E51FF"/>
    <w:rsid w:val="001E5930"/>
    <w:rsid w:val="001E5AC3"/>
    <w:rsid w:val="001E69A9"/>
    <w:rsid w:val="001E7DBD"/>
    <w:rsid w:val="001F0ABE"/>
    <w:rsid w:val="001F3CDD"/>
    <w:rsid w:val="001F64CC"/>
    <w:rsid w:val="00200BAD"/>
    <w:rsid w:val="00202D2D"/>
    <w:rsid w:val="00205C15"/>
    <w:rsid w:val="0020792F"/>
    <w:rsid w:val="00207BBA"/>
    <w:rsid w:val="002142C6"/>
    <w:rsid w:val="00215BA6"/>
    <w:rsid w:val="0021633A"/>
    <w:rsid w:val="002166E9"/>
    <w:rsid w:val="00216979"/>
    <w:rsid w:val="00221401"/>
    <w:rsid w:val="00221ED8"/>
    <w:rsid w:val="002275BA"/>
    <w:rsid w:val="00240BB8"/>
    <w:rsid w:val="00241E5C"/>
    <w:rsid w:val="002440AF"/>
    <w:rsid w:val="0024491D"/>
    <w:rsid w:val="00245271"/>
    <w:rsid w:val="00250A81"/>
    <w:rsid w:val="00252887"/>
    <w:rsid w:val="00252DB6"/>
    <w:rsid w:val="00252E11"/>
    <w:rsid w:val="0025417B"/>
    <w:rsid w:val="00254A8A"/>
    <w:rsid w:val="002560E1"/>
    <w:rsid w:val="00260E77"/>
    <w:rsid w:val="00261F96"/>
    <w:rsid w:val="00263429"/>
    <w:rsid w:val="00263DAB"/>
    <w:rsid w:val="00265E81"/>
    <w:rsid w:val="0026629F"/>
    <w:rsid w:val="002720AC"/>
    <w:rsid w:val="002729C9"/>
    <w:rsid w:val="002760DC"/>
    <w:rsid w:val="00281052"/>
    <w:rsid w:val="00283468"/>
    <w:rsid w:val="00283760"/>
    <w:rsid w:val="00283EBA"/>
    <w:rsid w:val="002866DD"/>
    <w:rsid w:val="00286E7F"/>
    <w:rsid w:val="00287117"/>
    <w:rsid w:val="0028741D"/>
    <w:rsid w:val="00291725"/>
    <w:rsid w:val="00293D1F"/>
    <w:rsid w:val="00296A25"/>
    <w:rsid w:val="002A0BD4"/>
    <w:rsid w:val="002A0D7C"/>
    <w:rsid w:val="002A2B10"/>
    <w:rsid w:val="002A333C"/>
    <w:rsid w:val="002A450B"/>
    <w:rsid w:val="002A71DC"/>
    <w:rsid w:val="002A78C9"/>
    <w:rsid w:val="002B3786"/>
    <w:rsid w:val="002B3AF7"/>
    <w:rsid w:val="002B3D72"/>
    <w:rsid w:val="002B4266"/>
    <w:rsid w:val="002B428C"/>
    <w:rsid w:val="002B504F"/>
    <w:rsid w:val="002B6A3F"/>
    <w:rsid w:val="002B6C1E"/>
    <w:rsid w:val="002C0E44"/>
    <w:rsid w:val="002C3BC2"/>
    <w:rsid w:val="002C4E8E"/>
    <w:rsid w:val="002C566B"/>
    <w:rsid w:val="002C6011"/>
    <w:rsid w:val="002C7675"/>
    <w:rsid w:val="002D0D95"/>
    <w:rsid w:val="002D0EE1"/>
    <w:rsid w:val="002D26A4"/>
    <w:rsid w:val="002D334A"/>
    <w:rsid w:val="002D6A22"/>
    <w:rsid w:val="002E140C"/>
    <w:rsid w:val="002E261C"/>
    <w:rsid w:val="002E44FB"/>
    <w:rsid w:val="002E49BF"/>
    <w:rsid w:val="002E4F48"/>
    <w:rsid w:val="002E5E8D"/>
    <w:rsid w:val="002E7128"/>
    <w:rsid w:val="002E7C5B"/>
    <w:rsid w:val="002F0631"/>
    <w:rsid w:val="002F1EA0"/>
    <w:rsid w:val="002F2977"/>
    <w:rsid w:val="002F4D2C"/>
    <w:rsid w:val="002F64AA"/>
    <w:rsid w:val="002F7747"/>
    <w:rsid w:val="0030231A"/>
    <w:rsid w:val="00302E90"/>
    <w:rsid w:val="00303E42"/>
    <w:rsid w:val="00304841"/>
    <w:rsid w:val="0030643F"/>
    <w:rsid w:val="0030672F"/>
    <w:rsid w:val="003101FE"/>
    <w:rsid w:val="003129CD"/>
    <w:rsid w:val="00312C55"/>
    <w:rsid w:val="003131E9"/>
    <w:rsid w:val="0031412E"/>
    <w:rsid w:val="0032054E"/>
    <w:rsid w:val="00322539"/>
    <w:rsid w:val="00322832"/>
    <w:rsid w:val="003236E1"/>
    <w:rsid w:val="0032699C"/>
    <w:rsid w:val="00331B23"/>
    <w:rsid w:val="00336C9D"/>
    <w:rsid w:val="00336E50"/>
    <w:rsid w:val="00340E6A"/>
    <w:rsid w:val="00343D4E"/>
    <w:rsid w:val="0034470C"/>
    <w:rsid w:val="00351A87"/>
    <w:rsid w:val="0035555E"/>
    <w:rsid w:val="0035575C"/>
    <w:rsid w:val="00355F29"/>
    <w:rsid w:val="0035771E"/>
    <w:rsid w:val="0036081A"/>
    <w:rsid w:val="00360B20"/>
    <w:rsid w:val="003618E5"/>
    <w:rsid w:val="00362A37"/>
    <w:rsid w:val="00363FB4"/>
    <w:rsid w:val="00364F57"/>
    <w:rsid w:val="00367C4C"/>
    <w:rsid w:val="00367C63"/>
    <w:rsid w:val="0037038D"/>
    <w:rsid w:val="0037504B"/>
    <w:rsid w:val="00375B1D"/>
    <w:rsid w:val="003775BE"/>
    <w:rsid w:val="00380165"/>
    <w:rsid w:val="00381C3C"/>
    <w:rsid w:val="0038341F"/>
    <w:rsid w:val="00384D63"/>
    <w:rsid w:val="00385A34"/>
    <w:rsid w:val="00387CD0"/>
    <w:rsid w:val="00391BCB"/>
    <w:rsid w:val="003A08BE"/>
    <w:rsid w:val="003A3194"/>
    <w:rsid w:val="003A3725"/>
    <w:rsid w:val="003A4889"/>
    <w:rsid w:val="003A4E0E"/>
    <w:rsid w:val="003A6E56"/>
    <w:rsid w:val="003B36F9"/>
    <w:rsid w:val="003B49AF"/>
    <w:rsid w:val="003C12E5"/>
    <w:rsid w:val="003C3349"/>
    <w:rsid w:val="003C33DA"/>
    <w:rsid w:val="003C3C91"/>
    <w:rsid w:val="003C4306"/>
    <w:rsid w:val="003C6694"/>
    <w:rsid w:val="003C7166"/>
    <w:rsid w:val="003D0C09"/>
    <w:rsid w:val="003D0EB2"/>
    <w:rsid w:val="003D212E"/>
    <w:rsid w:val="003D25C1"/>
    <w:rsid w:val="003D2709"/>
    <w:rsid w:val="003D2BDC"/>
    <w:rsid w:val="003D7BE2"/>
    <w:rsid w:val="003E0873"/>
    <w:rsid w:val="003E1632"/>
    <w:rsid w:val="003E23CE"/>
    <w:rsid w:val="003E3BF6"/>
    <w:rsid w:val="003E782B"/>
    <w:rsid w:val="003F0170"/>
    <w:rsid w:val="003F0B35"/>
    <w:rsid w:val="003F1FF6"/>
    <w:rsid w:val="003F354B"/>
    <w:rsid w:val="003F703E"/>
    <w:rsid w:val="004039B0"/>
    <w:rsid w:val="00403F75"/>
    <w:rsid w:val="00404C8B"/>
    <w:rsid w:val="00405C72"/>
    <w:rsid w:val="004061F0"/>
    <w:rsid w:val="00412D84"/>
    <w:rsid w:val="0041413F"/>
    <w:rsid w:val="00415FB1"/>
    <w:rsid w:val="00420254"/>
    <w:rsid w:val="00420643"/>
    <w:rsid w:val="00421223"/>
    <w:rsid w:val="00426522"/>
    <w:rsid w:val="00427B23"/>
    <w:rsid w:val="00427DB6"/>
    <w:rsid w:val="00431F4C"/>
    <w:rsid w:val="00432544"/>
    <w:rsid w:val="0043503B"/>
    <w:rsid w:val="00436D41"/>
    <w:rsid w:val="00437C83"/>
    <w:rsid w:val="0044276B"/>
    <w:rsid w:val="0045169E"/>
    <w:rsid w:val="00451B6E"/>
    <w:rsid w:val="00452C50"/>
    <w:rsid w:val="004568AA"/>
    <w:rsid w:val="0046249D"/>
    <w:rsid w:val="00467CB5"/>
    <w:rsid w:val="00470C57"/>
    <w:rsid w:val="0047384B"/>
    <w:rsid w:val="0048241E"/>
    <w:rsid w:val="0048329A"/>
    <w:rsid w:val="00483821"/>
    <w:rsid w:val="004838DD"/>
    <w:rsid w:val="004854E3"/>
    <w:rsid w:val="00486E3D"/>
    <w:rsid w:val="00487115"/>
    <w:rsid w:val="004873F0"/>
    <w:rsid w:val="00487C57"/>
    <w:rsid w:val="00491427"/>
    <w:rsid w:val="004943AF"/>
    <w:rsid w:val="00494DBF"/>
    <w:rsid w:val="0049551C"/>
    <w:rsid w:val="004975E1"/>
    <w:rsid w:val="004A35A1"/>
    <w:rsid w:val="004A473E"/>
    <w:rsid w:val="004B0325"/>
    <w:rsid w:val="004B046F"/>
    <w:rsid w:val="004B0DA1"/>
    <w:rsid w:val="004B1BEC"/>
    <w:rsid w:val="004B3356"/>
    <w:rsid w:val="004B62C0"/>
    <w:rsid w:val="004B6DBB"/>
    <w:rsid w:val="004C139F"/>
    <w:rsid w:val="004C1C8A"/>
    <w:rsid w:val="004C2F7F"/>
    <w:rsid w:val="004C3477"/>
    <w:rsid w:val="004C3A70"/>
    <w:rsid w:val="004C41D9"/>
    <w:rsid w:val="004C4AA8"/>
    <w:rsid w:val="004C7F39"/>
    <w:rsid w:val="004D10CE"/>
    <w:rsid w:val="004D414C"/>
    <w:rsid w:val="004D51BF"/>
    <w:rsid w:val="004D6708"/>
    <w:rsid w:val="004D7D9C"/>
    <w:rsid w:val="004E4264"/>
    <w:rsid w:val="004E4753"/>
    <w:rsid w:val="004E552E"/>
    <w:rsid w:val="004E604F"/>
    <w:rsid w:val="004E75F0"/>
    <w:rsid w:val="004F1141"/>
    <w:rsid w:val="004F1D65"/>
    <w:rsid w:val="004F1DED"/>
    <w:rsid w:val="004F272E"/>
    <w:rsid w:val="004F2C5A"/>
    <w:rsid w:val="004F5060"/>
    <w:rsid w:val="004F5743"/>
    <w:rsid w:val="00501A68"/>
    <w:rsid w:val="00502304"/>
    <w:rsid w:val="00502E05"/>
    <w:rsid w:val="00503232"/>
    <w:rsid w:val="0050480C"/>
    <w:rsid w:val="005048A0"/>
    <w:rsid w:val="00506374"/>
    <w:rsid w:val="005064D4"/>
    <w:rsid w:val="00512CB5"/>
    <w:rsid w:val="00512FB5"/>
    <w:rsid w:val="00513278"/>
    <w:rsid w:val="0051342E"/>
    <w:rsid w:val="00515151"/>
    <w:rsid w:val="005165B4"/>
    <w:rsid w:val="00516846"/>
    <w:rsid w:val="005175EC"/>
    <w:rsid w:val="00522566"/>
    <w:rsid w:val="00522964"/>
    <w:rsid w:val="005248A0"/>
    <w:rsid w:val="005261A0"/>
    <w:rsid w:val="0052741E"/>
    <w:rsid w:val="00527FD0"/>
    <w:rsid w:val="00531553"/>
    <w:rsid w:val="0053177F"/>
    <w:rsid w:val="005317EF"/>
    <w:rsid w:val="005344C5"/>
    <w:rsid w:val="00536D37"/>
    <w:rsid w:val="00545446"/>
    <w:rsid w:val="00556694"/>
    <w:rsid w:val="00556811"/>
    <w:rsid w:val="005629B5"/>
    <w:rsid w:val="00565360"/>
    <w:rsid w:val="00565DB2"/>
    <w:rsid w:val="00565DC1"/>
    <w:rsid w:val="00565F1F"/>
    <w:rsid w:val="00575BA7"/>
    <w:rsid w:val="00575CBA"/>
    <w:rsid w:val="00577E0D"/>
    <w:rsid w:val="00580F5D"/>
    <w:rsid w:val="00581FE4"/>
    <w:rsid w:val="005848FD"/>
    <w:rsid w:val="00585A68"/>
    <w:rsid w:val="00585A79"/>
    <w:rsid w:val="00586350"/>
    <w:rsid w:val="00590C1A"/>
    <w:rsid w:val="005939F0"/>
    <w:rsid w:val="0059521B"/>
    <w:rsid w:val="0059545E"/>
    <w:rsid w:val="005977DF"/>
    <w:rsid w:val="005979E1"/>
    <w:rsid w:val="005A0344"/>
    <w:rsid w:val="005A0AD8"/>
    <w:rsid w:val="005A1106"/>
    <w:rsid w:val="005A2C07"/>
    <w:rsid w:val="005A3018"/>
    <w:rsid w:val="005A4797"/>
    <w:rsid w:val="005A6072"/>
    <w:rsid w:val="005B13E2"/>
    <w:rsid w:val="005B2623"/>
    <w:rsid w:val="005B4CF4"/>
    <w:rsid w:val="005B5EAC"/>
    <w:rsid w:val="005B7CAE"/>
    <w:rsid w:val="005C186A"/>
    <w:rsid w:val="005C61AB"/>
    <w:rsid w:val="005D2BC7"/>
    <w:rsid w:val="005D4A41"/>
    <w:rsid w:val="005D5D6F"/>
    <w:rsid w:val="005E05CC"/>
    <w:rsid w:val="005E0825"/>
    <w:rsid w:val="005E2F1C"/>
    <w:rsid w:val="005E3112"/>
    <w:rsid w:val="005E37BD"/>
    <w:rsid w:val="005E44FC"/>
    <w:rsid w:val="005E5FB5"/>
    <w:rsid w:val="005F409E"/>
    <w:rsid w:val="005F476E"/>
    <w:rsid w:val="005F583A"/>
    <w:rsid w:val="00600AA2"/>
    <w:rsid w:val="006016BB"/>
    <w:rsid w:val="00601FA7"/>
    <w:rsid w:val="00602B05"/>
    <w:rsid w:val="00610FA0"/>
    <w:rsid w:val="00617AB8"/>
    <w:rsid w:val="0062091B"/>
    <w:rsid w:val="006209C1"/>
    <w:rsid w:val="00621F25"/>
    <w:rsid w:val="006235AE"/>
    <w:rsid w:val="006252E8"/>
    <w:rsid w:val="00625B58"/>
    <w:rsid w:val="00626B2B"/>
    <w:rsid w:val="00630072"/>
    <w:rsid w:val="00630747"/>
    <w:rsid w:val="00630A0B"/>
    <w:rsid w:val="00631211"/>
    <w:rsid w:val="006318C1"/>
    <w:rsid w:val="00632B25"/>
    <w:rsid w:val="00633C28"/>
    <w:rsid w:val="006354CE"/>
    <w:rsid w:val="00635CC0"/>
    <w:rsid w:val="00641767"/>
    <w:rsid w:val="00650CC9"/>
    <w:rsid w:val="00651493"/>
    <w:rsid w:val="00654D2B"/>
    <w:rsid w:val="006556B8"/>
    <w:rsid w:val="00661163"/>
    <w:rsid w:val="00663C16"/>
    <w:rsid w:val="006664CC"/>
    <w:rsid w:val="00666A26"/>
    <w:rsid w:val="00671B17"/>
    <w:rsid w:val="00671B54"/>
    <w:rsid w:val="00674F36"/>
    <w:rsid w:val="00675364"/>
    <w:rsid w:val="00681722"/>
    <w:rsid w:val="00685F31"/>
    <w:rsid w:val="00687220"/>
    <w:rsid w:val="00691AFF"/>
    <w:rsid w:val="00691C9C"/>
    <w:rsid w:val="006924A9"/>
    <w:rsid w:val="0069343A"/>
    <w:rsid w:val="00695636"/>
    <w:rsid w:val="006A29ED"/>
    <w:rsid w:val="006A5529"/>
    <w:rsid w:val="006A6597"/>
    <w:rsid w:val="006A7A20"/>
    <w:rsid w:val="006B1369"/>
    <w:rsid w:val="006B3104"/>
    <w:rsid w:val="006B40AA"/>
    <w:rsid w:val="006B52F2"/>
    <w:rsid w:val="006B6371"/>
    <w:rsid w:val="006B70E1"/>
    <w:rsid w:val="006C2B41"/>
    <w:rsid w:val="006C4EA6"/>
    <w:rsid w:val="006C5753"/>
    <w:rsid w:val="006C676B"/>
    <w:rsid w:val="006C7605"/>
    <w:rsid w:val="006C760F"/>
    <w:rsid w:val="006D0B66"/>
    <w:rsid w:val="006D2EE6"/>
    <w:rsid w:val="006D3216"/>
    <w:rsid w:val="006D3A3E"/>
    <w:rsid w:val="006D41EF"/>
    <w:rsid w:val="006E528D"/>
    <w:rsid w:val="006E5854"/>
    <w:rsid w:val="006F1283"/>
    <w:rsid w:val="006F391C"/>
    <w:rsid w:val="006F396B"/>
    <w:rsid w:val="006F6687"/>
    <w:rsid w:val="006F6BD3"/>
    <w:rsid w:val="00700267"/>
    <w:rsid w:val="00700C9F"/>
    <w:rsid w:val="00700D86"/>
    <w:rsid w:val="00702180"/>
    <w:rsid w:val="00703AB2"/>
    <w:rsid w:val="00703AE1"/>
    <w:rsid w:val="007063A1"/>
    <w:rsid w:val="00706D96"/>
    <w:rsid w:val="0070776F"/>
    <w:rsid w:val="00707B44"/>
    <w:rsid w:val="00712F4C"/>
    <w:rsid w:val="007172B9"/>
    <w:rsid w:val="00720CF2"/>
    <w:rsid w:val="007242CF"/>
    <w:rsid w:val="00724474"/>
    <w:rsid w:val="007302CF"/>
    <w:rsid w:val="00731C5B"/>
    <w:rsid w:val="007327F7"/>
    <w:rsid w:val="00733B84"/>
    <w:rsid w:val="00734CF6"/>
    <w:rsid w:val="00736435"/>
    <w:rsid w:val="0074032F"/>
    <w:rsid w:val="0074090D"/>
    <w:rsid w:val="00741440"/>
    <w:rsid w:val="00741F63"/>
    <w:rsid w:val="007421E3"/>
    <w:rsid w:val="007425FB"/>
    <w:rsid w:val="007446B3"/>
    <w:rsid w:val="00745C4C"/>
    <w:rsid w:val="00747C20"/>
    <w:rsid w:val="0075228B"/>
    <w:rsid w:val="0075606F"/>
    <w:rsid w:val="00757CD0"/>
    <w:rsid w:val="007608D4"/>
    <w:rsid w:val="00760C55"/>
    <w:rsid w:val="00760CCC"/>
    <w:rsid w:val="007631DE"/>
    <w:rsid w:val="00765780"/>
    <w:rsid w:val="00770D7C"/>
    <w:rsid w:val="00770FD2"/>
    <w:rsid w:val="00771C76"/>
    <w:rsid w:val="00772437"/>
    <w:rsid w:val="00774259"/>
    <w:rsid w:val="00775D1C"/>
    <w:rsid w:val="00780F0D"/>
    <w:rsid w:val="00782E4B"/>
    <w:rsid w:val="00784EA7"/>
    <w:rsid w:val="007872FD"/>
    <w:rsid w:val="007900DF"/>
    <w:rsid w:val="00790BA7"/>
    <w:rsid w:val="00792769"/>
    <w:rsid w:val="00792786"/>
    <w:rsid w:val="00792D6B"/>
    <w:rsid w:val="0079597C"/>
    <w:rsid w:val="00797A5D"/>
    <w:rsid w:val="007A0074"/>
    <w:rsid w:val="007A4468"/>
    <w:rsid w:val="007A458C"/>
    <w:rsid w:val="007A5535"/>
    <w:rsid w:val="007A64D5"/>
    <w:rsid w:val="007A6B58"/>
    <w:rsid w:val="007A771D"/>
    <w:rsid w:val="007A79F0"/>
    <w:rsid w:val="007B4E03"/>
    <w:rsid w:val="007B70EF"/>
    <w:rsid w:val="007B7B4A"/>
    <w:rsid w:val="007C1C10"/>
    <w:rsid w:val="007C362C"/>
    <w:rsid w:val="007C3AD5"/>
    <w:rsid w:val="007C4E1F"/>
    <w:rsid w:val="007C595D"/>
    <w:rsid w:val="007C7303"/>
    <w:rsid w:val="007C7D18"/>
    <w:rsid w:val="007D0176"/>
    <w:rsid w:val="007D2522"/>
    <w:rsid w:val="007E14CF"/>
    <w:rsid w:val="007E3090"/>
    <w:rsid w:val="007E474D"/>
    <w:rsid w:val="007E703A"/>
    <w:rsid w:val="007F13ED"/>
    <w:rsid w:val="007F3934"/>
    <w:rsid w:val="007F443E"/>
    <w:rsid w:val="007F48BA"/>
    <w:rsid w:val="00800781"/>
    <w:rsid w:val="00800B27"/>
    <w:rsid w:val="008037C3"/>
    <w:rsid w:val="008047EB"/>
    <w:rsid w:val="00814105"/>
    <w:rsid w:val="00814E7F"/>
    <w:rsid w:val="0081577F"/>
    <w:rsid w:val="00816F2B"/>
    <w:rsid w:val="0081743F"/>
    <w:rsid w:val="00824F35"/>
    <w:rsid w:val="00825CBF"/>
    <w:rsid w:val="00826A0F"/>
    <w:rsid w:val="008303EE"/>
    <w:rsid w:val="00830412"/>
    <w:rsid w:val="00833DE7"/>
    <w:rsid w:val="00834DCA"/>
    <w:rsid w:val="00835716"/>
    <w:rsid w:val="00842CCA"/>
    <w:rsid w:val="00842EE2"/>
    <w:rsid w:val="00843E3A"/>
    <w:rsid w:val="00847161"/>
    <w:rsid w:val="00851AE1"/>
    <w:rsid w:val="00851FA0"/>
    <w:rsid w:val="008520D4"/>
    <w:rsid w:val="008522A0"/>
    <w:rsid w:val="00855AC9"/>
    <w:rsid w:val="00855F0E"/>
    <w:rsid w:val="00856100"/>
    <w:rsid w:val="00864A23"/>
    <w:rsid w:val="00864AB7"/>
    <w:rsid w:val="00866959"/>
    <w:rsid w:val="00870504"/>
    <w:rsid w:val="008715A6"/>
    <w:rsid w:val="00871AFD"/>
    <w:rsid w:val="00876139"/>
    <w:rsid w:val="00876BA7"/>
    <w:rsid w:val="008771CD"/>
    <w:rsid w:val="00881DD1"/>
    <w:rsid w:val="00882429"/>
    <w:rsid w:val="00882AD9"/>
    <w:rsid w:val="00882D19"/>
    <w:rsid w:val="0088562B"/>
    <w:rsid w:val="00890319"/>
    <w:rsid w:val="008935A7"/>
    <w:rsid w:val="00893CE6"/>
    <w:rsid w:val="008950CD"/>
    <w:rsid w:val="008973A1"/>
    <w:rsid w:val="008A1F31"/>
    <w:rsid w:val="008A311C"/>
    <w:rsid w:val="008A4590"/>
    <w:rsid w:val="008A74D2"/>
    <w:rsid w:val="008A7725"/>
    <w:rsid w:val="008A79E4"/>
    <w:rsid w:val="008B06DB"/>
    <w:rsid w:val="008B171C"/>
    <w:rsid w:val="008B2945"/>
    <w:rsid w:val="008B349A"/>
    <w:rsid w:val="008B3DAA"/>
    <w:rsid w:val="008B4B9A"/>
    <w:rsid w:val="008B6C83"/>
    <w:rsid w:val="008C26D2"/>
    <w:rsid w:val="008C6BD1"/>
    <w:rsid w:val="008D4237"/>
    <w:rsid w:val="008D50F9"/>
    <w:rsid w:val="008D7E55"/>
    <w:rsid w:val="008E0421"/>
    <w:rsid w:val="008E043E"/>
    <w:rsid w:val="008E3845"/>
    <w:rsid w:val="008E5258"/>
    <w:rsid w:val="008E6070"/>
    <w:rsid w:val="008E7626"/>
    <w:rsid w:val="008E762E"/>
    <w:rsid w:val="008F0294"/>
    <w:rsid w:val="008F069F"/>
    <w:rsid w:val="008F298C"/>
    <w:rsid w:val="008F33BA"/>
    <w:rsid w:val="008F3697"/>
    <w:rsid w:val="008F3745"/>
    <w:rsid w:val="008F3AF2"/>
    <w:rsid w:val="008F3F7D"/>
    <w:rsid w:val="008F4449"/>
    <w:rsid w:val="00902987"/>
    <w:rsid w:val="00904C70"/>
    <w:rsid w:val="00905CFE"/>
    <w:rsid w:val="00906AB2"/>
    <w:rsid w:val="00907934"/>
    <w:rsid w:val="00911AAE"/>
    <w:rsid w:val="00911DC2"/>
    <w:rsid w:val="00911E4E"/>
    <w:rsid w:val="00914F74"/>
    <w:rsid w:val="00915934"/>
    <w:rsid w:val="00915DF0"/>
    <w:rsid w:val="009228FD"/>
    <w:rsid w:val="00923969"/>
    <w:rsid w:val="00923CB7"/>
    <w:rsid w:val="00927507"/>
    <w:rsid w:val="009276A4"/>
    <w:rsid w:val="00927A36"/>
    <w:rsid w:val="009308BB"/>
    <w:rsid w:val="009324AA"/>
    <w:rsid w:val="009329D1"/>
    <w:rsid w:val="00933DD2"/>
    <w:rsid w:val="00935908"/>
    <w:rsid w:val="00935E20"/>
    <w:rsid w:val="00937BAC"/>
    <w:rsid w:val="009404AB"/>
    <w:rsid w:val="00942AB0"/>
    <w:rsid w:val="00942DAB"/>
    <w:rsid w:val="00944E41"/>
    <w:rsid w:val="009458AC"/>
    <w:rsid w:val="00945ED1"/>
    <w:rsid w:val="009470C7"/>
    <w:rsid w:val="0095059B"/>
    <w:rsid w:val="00952079"/>
    <w:rsid w:val="0095272D"/>
    <w:rsid w:val="00956E68"/>
    <w:rsid w:val="0095704C"/>
    <w:rsid w:val="00961FC2"/>
    <w:rsid w:val="009624AA"/>
    <w:rsid w:val="00964A42"/>
    <w:rsid w:val="00970743"/>
    <w:rsid w:val="00971267"/>
    <w:rsid w:val="009714B7"/>
    <w:rsid w:val="009715FB"/>
    <w:rsid w:val="00972F11"/>
    <w:rsid w:val="00977288"/>
    <w:rsid w:val="009811CE"/>
    <w:rsid w:val="009812C7"/>
    <w:rsid w:val="00981315"/>
    <w:rsid w:val="00981377"/>
    <w:rsid w:val="00982197"/>
    <w:rsid w:val="00982990"/>
    <w:rsid w:val="00987FD5"/>
    <w:rsid w:val="009905A6"/>
    <w:rsid w:val="009936FF"/>
    <w:rsid w:val="00993ED7"/>
    <w:rsid w:val="00995EB2"/>
    <w:rsid w:val="009A14F9"/>
    <w:rsid w:val="009A15AC"/>
    <w:rsid w:val="009A2976"/>
    <w:rsid w:val="009A2F9E"/>
    <w:rsid w:val="009A3130"/>
    <w:rsid w:val="009A3530"/>
    <w:rsid w:val="009A38B8"/>
    <w:rsid w:val="009A52E6"/>
    <w:rsid w:val="009A7C4A"/>
    <w:rsid w:val="009B19CE"/>
    <w:rsid w:val="009B1E7E"/>
    <w:rsid w:val="009B20EB"/>
    <w:rsid w:val="009B33B2"/>
    <w:rsid w:val="009B63E2"/>
    <w:rsid w:val="009C05FC"/>
    <w:rsid w:val="009C07D6"/>
    <w:rsid w:val="009C33F8"/>
    <w:rsid w:val="009C3BC5"/>
    <w:rsid w:val="009C5031"/>
    <w:rsid w:val="009C53E1"/>
    <w:rsid w:val="009C6B73"/>
    <w:rsid w:val="009C6D2D"/>
    <w:rsid w:val="009C78C3"/>
    <w:rsid w:val="009D2EA7"/>
    <w:rsid w:val="009D3CAC"/>
    <w:rsid w:val="009D405B"/>
    <w:rsid w:val="009D472F"/>
    <w:rsid w:val="009D73D7"/>
    <w:rsid w:val="009E06C4"/>
    <w:rsid w:val="009E5A7A"/>
    <w:rsid w:val="009E5D28"/>
    <w:rsid w:val="009E6F96"/>
    <w:rsid w:val="009F0C1F"/>
    <w:rsid w:val="009F1CCE"/>
    <w:rsid w:val="009F561C"/>
    <w:rsid w:val="009F647F"/>
    <w:rsid w:val="00A003C8"/>
    <w:rsid w:val="00A015EA"/>
    <w:rsid w:val="00A01BB6"/>
    <w:rsid w:val="00A01C19"/>
    <w:rsid w:val="00A0262A"/>
    <w:rsid w:val="00A0309A"/>
    <w:rsid w:val="00A036F5"/>
    <w:rsid w:val="00A03CFD"/>
    <w:rsid w:val="00A053CA"/>
    <w:rsid w:val="00A07E21"/>
    <w:rsid w:val="00A07E37"/>
    <w:rsid w:val="00A102F4"/>
    <w:rsid w:val="00A10DF5"/>
    <w:rsid w:val="00A12755"/>
    <w:rsid w:val="00A13015"/>
    <w:rsid w:val="00A14D60"/>
    <w:rsid w:val="00A14EEE"/>
    <w:rsid w:val="00A20257"/>
    <w:rsid w:val="00A20953"/>
    <w:rsid w:val="00A20FE7"/>
    <w:rsid w:val="00A21791"/>
    <w:rsid w:val="00A220F2"/>
    <w:rsid w:val="00A24FD2"/>
    <w:rsid w:val="00A252BB"/>
    <w:rsid w:val="00A268DE"/>
    <w:rsid w:val="00A26D43"/>
    <w:rsid w:val="00A338F0"/>
    <w:rsid w:val="00A34967"/>
    <w:rsid w:val="00A34A05"/>
    <w:rsid w:val="00A36230"/>
    <w:rsid w:val="00A417D8"/>
    <w:rsid w:val="00A43011"/>
    <w:rsid w:val="00A4374C"/>
    <w:rsid w:val="00A440D2"/>
    <w:rsid w:val="00A44574"/>
    <w:rsid w:val="00A471B3"/>
    <w:rsid w:val="00A5093C"/>
    <w:rsid w:val="00A51DE0"/>
    <w:rsid w:val="00A53ABE"/>
    <w:rsid w:val="00A552A6"/>
    <w:rsid w:val="00A55FB5"/>
    <w:rsid w:val="00A57079"/>
    <w:rsid w:val="00A61042"/>
    <w:rsid w:val="00A621A3"/>
    <w:rsid w:val="00A63545"/>
    <w:rsid w:val="00A64502"/>
    <w:rsid w:val="00A654C0"/>
    <w:rsid w:val="00A65B1F"/>
    <w:rsid w:val="00A664FD"/>
    <w:rsid w:val="00A7009E"/>
    <w:rsid w:val="00A73735"/>
    <w:rsid w:val="00A737A2"/>
    <w:rsid w:val="00A74876"/>
    <w:rsid w:val="00A74C86"/>
    <w:rsid w:val="00A77DDB"/>
    <w:rsid w:val="00A83D94"/>
    <w:rsid w:val="00A84639"/>
    <w:rsid w:val="00A85A10"/>
    <w:rsid w:val="00A86FF3"/>
    <w:rsid w:val="00A91BBC"/>
    <w:rsid w:val="00A91D3A"/>
    <w:rsid w:val="00A92A11"/>
    <w:rsid w:val="00A9395A"/>
    <w:rsid w:val="00A93B19"/>
    <w:rsid w:val="00A956EC"/>
    <w:rsid w:val="00A971ED"/>
    <w:rsid w:val="00A9783F"/>
    <w:rsid w:val="00AA04B7"/>
    <w:rsid w:val="00AA17EA"/>
    <w:rsid w:val="00AA2083"/>
    <w:rsid w:val="00AA37AA"/>
    <w:rsid w:val="00AA37E7"/>
    <w:rsid w:val="00AA4BF1"/>
    <w:rsid w:val="00AA5BFE"/>
    <w:rsid w:val="00AB107C"/>
    <w:rsid w:val="00AB39D6"/>
    <w:rsid w:val="00AB4A87"/>
    <w:rsid w:val="00AB5312"/>
    <w:rsid w:val="00AC1A4F"/>
    <w:rsid w:val="00AC2DFC"/>
    <w:rsid w:val="00AC336C"/>
    <w:rsid w:val="00AC4011"/>
    <w:rsid w:val="00AC41EF"/>
    <w:rsid w:val="00AC4C03"/>
    <w:rsid w:val="00AC587D"/>
    <w:rsid w:val="00AC5E83"/>
    <w:rsid w:val="00AC7667"/>
    <w:rsid w:val="00AD0207"/>
    <w:rsid w:val="00AD0886"/>
    <w:rsid w:val="00AD18F5"/>
    <w:rsid w:val="00AD5792"/>
    <w:rsid w:val="00AD5D71"/>
    <w:rsid w:val="00AD6548"/>
    <w:rsid w:val="00AD6EC1"/>
    <w:rsid w:val="00AD7FE2"/>
    <w:rsid w:val="00AE3DFC"/>
    <w:rsid w:val="00AE586E"/>
    <w:rsid w:val="00AE71EF"/>
    <w:rsid w:val="00AE7428"/>
    <w:rsid w:val="00AF344E"/>
    <w:rsid w:val="00AF34D1"/>
    <w:rsid w:val="00AF4585"/>
    <w:rsid w:val="00AF4C01"/>
    <w:rsid w:val="00AF4DA5"/>
    <w:rsid w:val="00AF5540"/>
    <w:rsid w:val="00AF583B"/>
    <w:rsid w:val="00AF6343"/>
    <w:rsid w:val="00AF798B"/>
    <w:rsid w:val="00AF7B70"/>
    <w:rsid w:val="00B0096C"/>
    <w:rsid w:val="00B027FF"/>
    <w:rsid w:val="00B0509D"/>
    <w:rsid w:val="00B057C7"/>
    <w:rsid w:val="00B1365F"/>
    <w:rsid w:val="00B13D4E"/>
    <w:rsid w:val="00B15B80"/>
    <w:rsid w:val="00B1686D"/>
    <w:rsid w:val="00B16E46"/>
    <w:rsid w:val="00B2043F"/>
    <w:rsid w:val="00B2081E"/>
    <w:rsid w:val="00B20C3C"/>
    <w:rsid w:val="00B20D25"/>
    <w:rsid w:val="00B23AF9"/>
    <w:rsid w:val="00B23C95"/>
    <w:rsid w:val="00B24C3F"/>
    <w:rsid w:val="00B25E69"/>
    <w:rsid w:val="00B26F1C"/>
    <w:rsid w:val="00B35F5C"/>
    <w:rsid w:val="00B36AD8"/>
    <w:rsid w:val="00B40A64"/>
    <w:rsid w:val="00B41647"/>
    <w:rsid w:val="00B444A3"/>
    <w:rsid w:val="00B46FE1"/>
    <w:rsid w:val="00B47D1A"/>
    <w:rsid w:val="00B47E35"/>
    <w:rsid w:val="00B5002F"/>
    <w:rsid w:val="00B5630C"/>
    <w:rsid w:val="00B57B4C"/>
    <w:rsid w:val="00B64A17"/>
    <w:rsid w:val="00B656D1"/>
    <w:rsid w:val="00B660C2"/>
    <w:rsid w:val="00B7070B"/>
    <w:rsid w:val="00B71570"/>
    <w:rsid w:val="00B76DC5"/>
    <w:rsid w:val="00B81785"/>
    <w:rsid w:val="00B8213E"/>
    <w:rsid w:val="00B82CB7"/>
    <w:rsid w:val="00B8469F"/>
    <w:rsid w:val="00B901BC"/>
    <w:rsid w:val="00B95B81"/>
    <w:rsid w:val="00B9755E"/>
    <w:rsid w:val="00BA0843"/>
    <w:rsid w:val="00BA096D"/>
    <w:rsid w:val="00BA0CCA"/>
    <w:rsid w:val="00BA0FFC"/>
    <w:rsid w:val="00BA109B"/>
    <w:rsid w:val="00BA1470"/>
    <w:rsid w:val="00BA27B1"/>
    <w:rsid w:val="00BA39DA"/>
    <w:rsid w:val="00BA5346"/>
    <w:rsid w:val="00BA7DC4"/>
    <w:rsid w:val="00BB0647"/>
    <w:rsid w:val="00BB4EBC"/>
    <w:rsid w:val="00BB74BE"/>
    <w:rsid w:val="00BB7E2E"/>
    <w:rsid w:val="00BC078A"/>
    <w:rsid w:val="00BC16D7"/>
    <w:rsid w:val="00BC1BBA"/>
    <w:rsid w:val="00BC3974"/>
    <w:rsid w:val="00BC4195"/>
    <w:rsid w:val="00BC734C"/>
    <w:rsid w:val="00BD108B"/>
    <w:rsid w:val="00BD22BD"/>
    <w:rsid w:val="00BD3741"/>
    <w:rsid w:val="00BD6BA0"/>
    <w:rsid w:val="00BD73F1"/>
    <w:rsid w:val="00BD7C23"/>
    <w:rsid w:val="00BE0A2A"/>
    <w:rsid w:val="00BE0FFF"/>
    <w:rsid w:val="00BE16ED"/>
    <w:rsid w:val="00BE1F33"/>
    <w:rsid w:val="00BE2E66"/>
    <w:rsid w:val="00BE3591"/>
    <w:rsid w:val="00BE567E"/>
    <w:rsid w:val="00BE6690"/>
    <w:rsid w:val="00BE7693"/>
    <w:rsid w:val="00BE770C"/>
    <w:rsid w:val="00BF1150"/>
    <w:rsid w:val="00BF3446"/>
    <w:rsid w:val="00BF6869"/>
    <w:rsid w:val="00BF7953"/>
    <w:rsid w:val="00C00C1B"/>
    <w:rsid w:val="00C01A15"/>
    <w:rsid w:val="00C02AEA"/>
    <w:rsid w:val="00C03665"/>
    <w:rsid w:val="00C04B38"/>
    <w:rsid w:val="00C065E5"/>
    <w:rsid w:val="00C12593"/>
    <w:rsid w:val="00C12671"/>
    <w:rsid w:val="00C14892"/>
    <w:rsid w:val="00C14E7D"/>
    <w:rsid w:val="00C16892"/>
    <w:rsid w:val="00C16DB9"/>
    <w:rsid w:val="00C20442"/>
    <w:rsid w:val="00C20A34"/>
    <w:rsid w:val="00C22138"/>
    <w:rsid w:val="00C22164"/>
    <w:rsid w:val="00C25CFA"/>
    <w:rsid w:val="00C26816"/>
    <w:rsid w:val="00C27847"/>
    <w:rsid w:val="00C2797D"/>
    <w:rsid w:val="00C279DE"/>
    <w:rsid w:val="00C32CDE"/>
    <w:rsid w:val="00C34764"/>
    <w:rsid w:val="00C34FEF"/>
    <w:rsid w:val="00C379D2"/>
    <w:rsid w:val="00C4034C"/>
    <w:rsid w:val="00C41082"/>
    <w:rsid w:val="00C41C48"/>
    <w:rsid w:val="00C4266F"/>
    <w:rsid w:val="00C42E91"/>
    <w:rsid w:val="00C447AA"/>
    <w:rsid w:val="00C47188"/>
    <w:rsid w:val="00C503D0"/>
    <w:rsid w:val="00C50C0F"/>
    <w:rsid w:val="00C52678"/>
    <w:rsid w:val="00C52F93"/>
    <w:rsid w:val="00C530A9"/>
    <w:rsid w:val="00C55055"/>
    <w:rsid w:val="00C57D18"/>
    <w:rsid w:val="00C61FBD"/>
    <w:rsid w:val="00C63893"/>
    <w:rsid w:val="00C67707"/>
    <w:rsid w:val="00C727D7"/>
    <w:rsid w:val="00C727E0"/>
    <w:rsid w:val="00C73B4F"/>
    <w:rsid w:val="00C7652E"/>
    <w:rsid w:val="00C76D8E"/>
    <w:rsid w:val="00C77719"/>
    <w:rsid w:val="00C77E6B"/>
    <w:rsid w:val="00C8088E"/>
    <w:rsid w:val="00C80D19"/>
    <w:rsid w:val="00C81A85"/>
    <w:rsid w:val="00C81F43"/>
    <w:rsid w:val="00C909F6"/>
    <w:rsid w:val="00C92FF7"/>
    <w:rsid w:val="00C950DC"/>
    <w:rsid w:val="00C95A87"/>
    <w:rsid w:val="00CA013D"/>
    <w:rsid w:val="00CA2D9C"/>
    <w:rsid w:val="00CA478A"/>
    <w:rsid w:val="00CA5B28"/>
    <w:rsid w:val="00CA5F24"/>
    <w:rsid w:val="00CA6E4B"/>
    <w:rsid w:val="00CA79A9"/>
    <w:rsid w:val="00CB0131"/>
    <w:rsid w:val="00CB4435"/>
    <w:rsid w:val="00CB4663"/>
    <w:rsid w:val="00CB4BA3"/>
    <w:rsid w:val="00CB67C0"/>
    <w:rsid w:val="00CB6E67"/>
    <w:rsid w:val="00CC1795"/>
    <w:rsid w:val="00CC22CD"/>
    <w:rsid w:val="00CC3E35"/>
    <w:rsid w:val="00CC4816"/>
    <w:rsid w:val="00CD04F2"/>
    <w:rsid w:val="00CD1603"/>
    <w:rsid w:val="00CD279C"/>
    <w:rsid w:val="00CD3164"/>
    <w:rsid w:val="00CD3F3B"/>
    <w:rsid w:val="00CD4B53"/>
    <w:rsid w:val="00CD78E9"/>
    <w:rsid w:val="00CE05D3"/>
    <w:rsid w:val="00CE32DF"/>
    <w:rsid w:val="00CE4764"/>
    <w:rsid w:val="00CE6145"/>
    <w:rsid w:val="00CF0D56"/>
    <w:rsid w:val="00CF4EE4"/>
    <w:rsid w:val="00CF6D3C"/>
    <w:rsid w:val="00D00AA6"/>
    <w:rsid w:val="00D03C2E"/>
    <w:rsid w:val="00D04A0E"/>
    <w:rsid w:val="00D14260"/>
    <w:rsid w:val="00D167B1"/>
    <w:rsid w:val="00D16A2B"/>
    <w:rsid w:val="00D17340"/>
    <w:rsid w:val="00D17A22"/>
    <w:rsid w:val="00D22C51"/>
    <w:rsid w:val="00D22EF2"/>
    <w:rsid w:val="00D23DA8"/>
    <w:rsid w:val="00D23FC1"/>
    <w:rsid w:val="00D245A6"/>
    <w:rsid w:val="00D246EC"/>
    <w:rsid w:val="00D247D6"/>
    <w:rsid w:val="00D248EA"/>
    <w:rsid w:val="00D2588B"/>
    <w:rsid w:val="00D2711D"/>
    <w:rsid w:val="00D31326"/>
    <w:rsid w:val="00D314A1"/>
    <w:rsid w:val="00D315F8"/>
    <w:rsid w:val="00D32D53"/>
    <w:rsid w:val="00D340C1"/>
    <w:rsid w:val="00D349C0"/>
    <w:rsid w:val="00D35D68"/>
    <w:rsid w:val="00D36868"/>
    <w:rsid w:val="00D36D54"/>
    <w:rsid w:val="00D431D6"/>
    <w:rsid w:val="00D436F8"/>
    <w:rsid w:val="00D46F28"/>
    <w:rsid w:val="00D50551"/>
    <w:rsid w:val="00D50854"/>
    <w:rsid w:val="00D50BA0"/>
    <w:rsid w:val="00D50D19"/>
    <w:rsid w:val="00D55914"/>
    <w:rsid w:val="00D55AF6"/>
    <w:rsid w:val="00D56737"/>
    <w:rsid w:val="00D56D74"/>
    <w:rsid w:val="00D56DFF"/>
    <w:rsid w:val="00D572D9"/>
    <w:rsid w:val="00D60A62"/>
    <w:rsid w:val="00D60DDE"/>
    <w:rsid w:val="00D62294"/>
    <w:rsid w:val="00D678E3"/>
    <w:rsid w:val="00D70D21"/>
    <w:rsid w:val="00D721E6"/>
    <w:rsid w:val="00D73AC6"/>
    <w:rsid w:val="00D746C3"/>
    <w:rsid w:val="00D75A2E"/>
    <w:rsid w:val="00D77405"/>
    <w:rsid w:val="00D80F8B"/>
    <w:rsid w:val="00D83A81"/>
    <w:rsid w:val="00D8532A"/>
    <w:rsid w:val="00D91424"/>
    <w:rsid w:val="00D956D7"/>
    <w:rsid w:val="00D96475"/>
    <w:rsid w:val="00D96F4F"/>
    <w:rsid w:val="00D97734"/>
    <w:rsid w:val="00D97C28"/>
    <w:rsid w:val="00DA1EC6"/>
    <w:rsid w:val="00DA3EC0"/>
    <w:rsid w:val="00DA5343"/>
    <w:rsid w:val="00DB2D44"/>
    <w:rsid w:val="00DB48B4"/>
    <w:rsid w:val="00DB5062"/>
    <w:rsid w:val="00DB64A8"/>
    <w:rsid w:val="00DC05F9"/>
    <w:rsid w:val="00DC071D"/>
    <w:rsid w:val="00DC60FE"/>
    <w:rsid w:val="00DC677D"/>
    <w:rsid w:val="00DC7BB3"/>
    <w:rsid w:val="00DD0085"/>
    <w:rsid w:val="00DD2500"/>
    <w:rsid w:val="00DD2C34"/>
    <w:rsid w:val="00DD387F"/>
    <w:rsid w:val="00DD3C54"/>
    <w:rsid w:val="00DD6532"/>
    <w:rsid w:val="00DE2F77"/>
    <w:rsid w:val="00DE3625"/>
    <w:rsid w:val="00DE3E38"/>
    <w:rsid w:val="00DE57F7"/>
    <w:rsid w:val="00DE6DA2"/>
    <w:rsid w:val="00DF0090"/>
    <w:rsid w:val="00DF5174"/>
    <w:rsid w:val="00DF5B7C"/>
    <w:rsid w:val="00DF5BBE"/>
    <w:rsid w:val="00DF5F31"/>
    <w:rsid w:val="00DF7D0F"/>
    <w:rsid w:val="00E00301"/>
    <w:rsid w:val="00E004B0"/>
    <w:rsid w:val="00E02421"/>
    <w:rsid w:val="00E02E0F"/>
    <w:rsid w:val="00E03DE0"/>
    <w:rsid w:val="00E041B2"/>
    <w:rsid w:val="00E07161"/>
    <w:rsid w:val="00E15C3E"/>
    <w:rsid w:val="00E172BF"/>
    <w:rsid w:val="00E1740A"/>
    <w:rsid w:val="00E22C13"/>
    <w:rsid w:val="00E237BF"/>
    <w:rsid w:val="00E23F9C"/>
    <w:rsid w:val="00E24FBD"/>
    <w:rsid w:val="00E3112D"/>
    <w:rsid w:val="00E31399"/>
    <w:rsid w:val="00E337C1"/>
    <w:rsid w:val="00E33DCA"/>
    <w:rsid w:val="00E347F0"/>
    <w:rsid w:val="00E35823"/>
    <w:rsid w:val="00E366AB"/>
    <w:rsid w:val="00E368F3"/>
    <w:rsid w:val="00E37308"/>
    <w:rsid w:val="00E41072"/>
    <w:rsid w:val="00E46D2F"/>
    <w:rsid w:val="00E50142"/>
    <w:rsid w:val="00E50FFD"/>
    <w:rsid w:val="00E520E6"/>
    <w:rsid w:val="00E54D1A"/>
    <w:rsid w:val="00E54D42"/>
    <w:rsid w:val="00E5507A"/>
    <w:rsid w:val="00E55AD0"/>
    <w:rsid w:val="00E6077E"/>
    <w:rsid w:val="00E60C2D"/>
    <w:rsid w:val="00E6284A"/>
    <w:rsid w:val="00E63CC6"/>
    <w:rsid w:val="00E64431"/>
    <w:rsid w:val="00E67774"/>
    <w:rsid w:val="00E71A4E"/>
    <w:rsid w:val="00E80E3D"/>
    <w:rsid w:val="00E83935"/>
    <w:rsid w:val="00E83A85"/>
    <w:rsid w:val="00E843DA"/>
    <w:rsid w:val="00E85D42"/>
    <w:rsid w:val="00E87B5C"/>
    <w:rsid w:val="00E91062"/>
    <w:rsid w:val="00E91694"/>
    <w:rsid w:val="00E9487B"/>
    <w:rsid w:val="00E960B2"/>
    <w:rsid w:val="00EA0E0A"/>
    <w:rsid w:val="00EA3BBB"/>
    <w:rsid w:val="00EA58EA"/>
    <w:rsid w:val="00EA6147"/>
    <w:rsid w:val="00EB163B"/>
    <w:rsid w:val="00EB59BD"/>
    <w:rsid w:val="00EB6B9B"/>
    <w:rsid w:val="00EB766D"/>
    <w:rsid w:val="00EC1ABC"/>
    <w:rsid w:val="00EC2A5C"/>
    <w:rsid w:val="00EC6BB9"/>
    <w:rsid w:val="00ED00AC"/>
    <w:rsid w:val="00ED0AD6"/>
    <w:rsid w:val="00ED1182"/>
    <w:rsid w:val="00ED139B"/>
    <w:rsid w:val="00ED178D"/>
    <w:rsid w:val="00ED54AC"/>
    <w:rsid w:val="00ED598A"/>
    <w:rsid w:val="00ED66FE"/>
    <w:rsid w:val="00ED7432"/>
    <w:rsid w:val="00EE0BD1"/>
    <w:rsid w:val="00EE1346"/>
    <w:rsid w:val="00EE36D2"/>
    <w:rsid w:val="00EE473B"/>
    <w:rsid w:val="00EE4A25"/>
    <w:rsid w:val="00EE5C1A"/>
    <w:rsid w:val="00EE659F"/>
    <w:rsid w:val="00EE767F"/>
    <w:rsid w:val="00EF030D"/>
    <w:rsid w:val="00EF09BA"/>
    <w:rsid w:val="00EF0A88"/>
    <w:rsid w:val="00EF3C95"/>
    <w:rsid w:val="00EF4483"/>
    <w:rsid w:val="00EF48A5"/>
    <w:rsid w:val="00EF5EF6"/>
    <w:rsid w:val="00EF71C3"/>
    <w:rsid w:val="00F00474"/>
    <w:rsid w:val="00F0298E"/>
    <w:rsid w:val="00F03268"/>
    <w:rsid w:val="00F0391F"/>
    <w:rsid w:val="00F05C32"/>
    <w:rsid w:val="00F062BB"/>
    <w:rsid w:val="00F06526"/>
    <w:rsid w:val="00F067BD"/>
    <w:rsid w:val="00F0714A"/>
    <w:rsid w:val="00F076F8"/>
    <w:rsid w:val="00F077D2"/>
    <w:rsid w:val="00F07CA1"/>
    <w:rsid w:val="00F12226"/>
    <w:rsid w:val="00F12E91"/>
    <w:rsid w:val="00F1385B"/>
    <w:rsid w:val="00F145B4"/>
    <w:rsid w:val="00F14F13"/>
    <w:rsid w:val="00F165D0"/>
    <w:rsid w:val="00F16A81"/>
    <w:rsid w:val="00F17B8F"/>
    <w:rsid w:val="00F21210"/>
    <w:rsid w:val="00F23BDC"/>
    <w:rsid w:val="00F303E7"/>
    <w:rsid w:val="00F31FCA"/>
    <w:rsid w:val="00F32A47"/>
    <w:rsid w:val="00F33E1E"/>
    <w:rsid w:val="00F350EA"/>
    <w:rsid w:val="00F41089"/>
    <w:rsid w:val="00F41618"/>
    <w:rsid w:val="00F43837"/>
    <w:rsid w:val="00F43C94"/>
    <w:rsid w:val="00F43F66"/>
    <w:rsid w:val="00F4420C"/>
    <w:rsid w:val="00F445E8"/>
    <w:rsid w:val="00F44E79"/>
    <w:rsid w:val="00F46905"/>
    <w:rsid w:val="00F46FEA"/>
    <w:rsid w:val="00F52DC5"/>
    <w:rsid w:val="00F53690"/>
    <w:rsid w:val="00F53736"/>
    <w:rsid w:val="00F61941"/>
    <w:rsid w:val="00F63695"/>
    <w:rsid w:val="00F65D15"/>
    <w:rsid w:val="00F70309"/>
    <w:rsid w:val="00F72A18"/>
    <w:rsid w:val="00F72C73"/>
    <w:rsid w:val="00F7415B"/>
    <w:rsid w:val="00F772B3"/>
    <w:rsid w:val="00F80562"/>
    <w:rsid w:val="00F81A88"/>
    <w:rsid w:val="00F832CF"/>
    <w:rsid w:val="00F8396F"/>
    <w:rsid w:val="00F85324"/>
    <w:rsid w:val="00F85802"/>
    <w:rsid w:val="00F85AC8"/>
    <w:rsid w:val="00F85F31"/>
    <w:rsid w:val="00F86281"/>
    <w:rsid w:val="00F87314"/>
    <w:rsid w:val="00F9286C"/>
    <w:rsid w:val="00F928AC"/>
    <w:rsid w:val="00F92C23"/>
    <w:rsid w:val="00FA05A7"/>
    <w:rsid w:val="00FA1CF9"/>
    <w:rsid w:val="00FA3FC3"/>
    <w:rsid w:val="00FA5BB6"/>
    <w:rsid w:val="00FA5CCC"/>
    <w:rsid w:val="00FA5E2C"/>
    <w:rsid w:val="00FA7BF6"/>
    <w:rsid w:val="00FB0CEA"/>
    <w:rsid w:val="00FB1B85"/>
    <w:rsid w:val="00FB1D51"/>
    <w:rsid w:val="00FB35AE"/>
    <w:rsid w:val="00FB4EB0"/>
    <w:rsid w:val="00FB5D91"/>
    <w:rsid w:val="00FB5EB6"/>
    <w:rsid w:val="00FC1273"/>
    <w:rsid w:val="00FC1F20"/>
    <w:rsid w:val="00FC339D"/>
    <w:rsid w:val="00FC6DB0"/>
    <w:rsid w:val="00FC78E6"/>
    <w:rsid w:val="00FD365C"/>
    <w:rsid w:val="00FD4405"/>
    <w:rsid w:val="00FD46F5"/>
    <w:rsid w:val="00FD6577"/>
    <w:rsid w:val="00FD6C29"/>
    <w:rsid w:val="00FD72DA"/>
    <w:rsid w:val="00FD7CEB"/>
    <w:rsid w:val="00FE0BB1"/>
    <w:rsid w:val="00FE36B8"/>
    <w:rsid w:val="00FE3C35"/>
    <w:rsid w:val="00FE681E"/>
    <w:rsid w:val="00FE74B8"/>
    <w:rsid w:val="00FF21D7"/>
    <w:rsid w:val="00FF264C"/>
    <w:rsid w:val="00FF2D66"/>
    <w:rsid w:val="00FF307F"/>
    <w:rsid w:val="00FF3D88"/>
    <w:rsid w:val="00FF6661"/>
    <w:rsid w:val="00FF750B"/>
    <w:rsid w:val="01086C64"/>
    <w:rsid w:val="01127ECD"/>
    <w:rsid w:val="022143EC"/>
    <w:rsid w:val="02466D12"/>
    <w:rsid w:val="026D26E9"/>
    <w:rsid w:val="0314369E"/>
    <w:rsid w:val="04472A79"/>
    <w:rsid w:val="05034C75"/>
    <w:rsid w:val="067D17F3"/>
    <w:rsid w:val="07F55F19"/>
    <w:rsid w:val="07F7358F"/>
    <w:rsid w:val="0A2171D8"/>
    <w:rsid w:val="0BC11EE9"/>
    <w:rsid w:val="0BFDA643"/>
    <w:rsid w:val="0C025E06"/>
    <w:rsid w:val="0CA27F6D"/>
    <w:rsid w:val="0D0A1357"/>
    <w:rsid w:val="0D841421"/>
    <w:rsid w:val="0E1E338F"/>
    <w:rsid w:val="0E2436DF"/>
    <w:rsid w:val="0E4B1576"/>
    <w:rsid w:val="0EAFFE13"/>
    <w:rsid w:val="0EBD0938"/>
    <w:rsid w:val="0F2C7FC2"/>
    <w:rsid w:val="0F5A68DD"/>
    <w:rsid w:val="0F6A6E6B"/>
    <w:rsid w:val="0FBF4992"/>
    <w:rsid w:val="0FDA2DC8"/>
    <w:rsid w:val="0FDB09EB"/>
    <w:rsid w:val="0FDD5904"/>
    <w:rsid w:val="1066208D"/>
    <w:rsid w:val="10EC17B7"/>
    <w:rsid w:val="12DA28E8"/>
    <w:rsid w:val="13565192"/>
    <w:rsid w:val="1398780B"/>
    <w:rsid w:val="158F4E06"/>
    <w:rsid w:val="15FE3B78"/>
    <w:rsid w:val="16041350"/>
    <w:rsid w:val="172F68E4"/>
    <w:rsid w:val="179D1A5D"/>
    <w:rsid w:val="17B86E19"/>
    <w:rsid w:val="18185587"/>
    <w:rsid w:val="18291542"/>
    <w:rsid w:val="186407CC"/>
    <w:rsid w:val="18B81B84"/>
    <w:rsid w:val="18D524FF"/>
    <w:rsid w:val="19F1336E"/>
    <w:rsid w:val="19FBB57E"/>
    <w:rsid w:val="1A2B4310"/>
    <w:rsid w:val="1A587293"/>
    <w:rsid w:val="1AB84C4F"/>
    <w:rsid w:val="1AE3E9B7"/>
    <w:rsid w:val="1B2D8937"/>
    <w:rsid w:val="1BDD2BE1"/>
    <w:rsid w:val="1C63577B"/>
    <w:rsid w:val="1CDF53C0"/>
    <w:rsid w:val="1D17405F"/>
    <w:rsid w:val="1D596D99"/>
    <w:rsid w:val="1E202CF1"/>
    <w:rsid w:val="1F397911"/>
    <w:rsid w:val="1F9A4CB0"/>
    <w:rsid w:val="203A1ACD"/>
    <w:rsid w:val="20C5525C"/>
    <w:rsid w:val="20D83B05"/>
    <w:rsid w:val="21512926"/>
    <w:rsid w:val="22207FFF"/>
    <w:rsid w:val="229A6554"/>
    <w:rsid w:val="23BC326A"/>
    <w:rsid w:val="23EBF95F"/>
    <w:rsid w:val="24074DC2"/>
    <w:rsid w:val="240E19B7"/>
    <w:rsid w:val="24672B46"/>
    <w:rsid w:val="25903571"/>
    <w:rsid w:val="26094761"/>
    <w:rsid w:val="264D0715"/>
    <w:rsid w:val="26906C30"/>
    <w:rsid w:val="26A511A6"/>
    <w:rsid w:val="272555CB"/>
    <w:rsid w:val="274F0C47"/>
    <w:rsid w:val="298A3D09"/>
    <w:rsid w:val="29A80A9E"/>
    <w:rsid w:val="29A901D7"/>
    <w:rsid w:val="2A9071FF"/>
    <w:rsid w:val="2B176FCC"/>
    <w:rsid w:val="2BD36676"/>
    <w:rsid w:val="2C486806"/>
    <w:rsid w:val="2CE01C5C"/>
    <w:rsid w:val="2D172C70"/>
    <w:rsid w:val="2D8F379E"/>
    <w:rsid w:val="2D9B2143"/>
    <w:rsid w:val="2DA6475A"/>
    <w:rsid w:val="2DCD6480"/>
    <w:rsid w:val="2E112405"/>
    <w:rsid w:val="2E3D144C"/>
    <w:rsid w:val="2F4F7689"/>
    <w:rsid w:val="2F5FD4B2"/>
    <w:rsid w:val="3062639E"/>
    <w:rsid w:val="30B453C0"/>
    <w:rsid w:val="31701D2A"/>
    <w:rsid w:val="318D26EA"/>
    <w:rsid w:val="32290665"/>
    <w:rsid w:val="327318E0"/>
    <w:rsid w:val="33154729"/>
    <w:rsid w:val="33BF2903"/>
    <w:rsid w:val="34140BDA"/>
    <w:rsid w:val="34486852"/>
    <w:rsid w:val="34847DD4"/>
    <w:rsid w:val="34DF51DF"/>
    <w:rsid w:val="3659CF09"/>
    <w:rsid w:val="371D201C"/>
    <w:rsid w:val="37D7D64D"/>
    <w:rsid w:val="37DD58B2"/>
    <w:rsid w:val="37E6C5A9"/>
    <w:rsid w:val="37ED9385"/>
    <w:rsid w:val="37FE66BC"/>
    <w:rsid w:val="37FE75B6"/>
    <w:rsid w:val="381C424B"/>
    <w:rsid w:val="3862042D"/>
    <w:rsid w:val="388D536B"/>
    <w:rsid w:val="389F4E2A"/>
    <w:rsid w:val="39836E80"/>
    <w:rsid w:val="39FB7351"/>
    <w:rsid w:val="3A6A67D9"/>
    <w:rsid w:val="3A797CAF"/>
    <w:rsid w:val="3ACBD264"/>
    <w:rsid w:val="3AD7394F"/>
    <w:rsid w:val="3B6224F2"/>
    <w:rsid w:val="3BB93E68"/>
    <w:rsid w:val="3BBF513D"/>
    <w:rsid w:val="3BFBAC74"/>
    <w:rsid w:val="3CBE19AA"/>
    <w:rsid w:val="3CDEB68B"/>
    <w:rsid w:val="3D1E4B3E"/>
    <w:rsid w:val="3D2F28A7"/>
    <w:rsid w:val="3D440BCD"/>
    <w:rsid w:val="3D454394"/>
    <w:rsid w:val="3D5E58F7"/>
    <w:rsid w:val="3D6064EF"/>
    <w:rsid w:val="3DB26019"/>
    <w:rsid w:val="3DCF8497"/>
    <w:rsid w:val="3DDA0E2F"/>
    <w:rsid w:val="3DEF2F52"/>
    <w:rsid w:val="3DF14804"/>
    <w:rsid w:val="3E410AE4"/>
    <w:rsid w:val="3E5D256C"/>
    <w:rsid w:val="3EA05CBF"/>
    <w:rsid w:val="3ECC729E"/>
    <w:rsid w:val="3EE4B5F7"/>
    <w:rsid w:val="3EF96906"/>
    <w:rsid w:val="3F4B7F0F"/>
    <w:rsid w:val="3F4F1BC3"/>
    <w:rsid w:val="3F59FBCB"/>
    <w:rsid w:val="3FBA75E8"/>
    <w:rsid w:val="3FCE91F8"/>
    <w:rsid w:val="3FEDB705"/>
    <w:rsid w:val="3FF311E4"/>
    <w:rsid w:val="3FF76A73"/>
    <w:rsid w:val="3FFBA2A1"/>
    <w:rsid w:val="3FFF7528"/>
    <w:rsid w:val="40C559FD"/>
    <w:rsid w:val="418864EF"/>
    <w:rsid w:val="419B49AF"/>
    <w:rsid w:val="42005B16"/>
    <w:rsid w:val="42726ECF"/>
    <w:rsid w:val="42E47C90"/>
    <w:rsid w:val="430622FC"/>
    <w:rsid w:val="43EB2EA4"/>
    <w:rsid w:val="440E51DB"/>
    <w:rsid w:val="442246DB"/>
    <w:rsid w:val="4484797D"/>
    <w:rsid w:val="44C8791D"/>
    <w:rsid w:val="450F36EA"/>
    <w:rsid w:val="45B24076"/>
    <w:rsid w:val="46467707"/>
    <w:rsid w:val="467B6220"/>
    <w:rsid w:val="47522184"/>
    <w:rsid w:val="47D41179"/>
    <w:rsid w:val="482A25E9"/>
    <w:rsid w:val="485824B9"/>
    <w:rsid w:val="493556E9"/>
    <w:rsid w:val="4976569D"/>
    <w:rsid w:val="49BA48C9"/>
    <w:rsid w:val="49CF1E07"/>
    <w:rsid w:val="4ABE4612"/>
    <w:rsid w:val="4B15464D"/>
    <w:rsid w:val="4B4E0679"/>
    <w:rsid w:val="4B7F0E9E"/>
    <w:rsid w:val="4BB22BD9"/>
    <w:rsid w:val="4C2C625F"/>
    <w:rsid w:val="4D1D4262"/>
    <w:rsid w:val="4D1F0243"/>
    <w:rsid w:val="4D3B4D64"/>
    <w:rsid w:val="4DBE96BF"/>
    <w:rsid w:val="4E3F6FA8"/>
    <w:rsid w:val="4E761A7B"/>
    <w:rsid w:val="4E7A46AF"/>
    <w:rsid w:val="4EFDF4D7"/>
    <w:rsid w:val="4FA233AD"/>
    <w:rsid w:val="4FFF2D6A"/>
    <w:rsid w:val="50227C85"/>
    <w:rsid w:val="50416722"/>
    <w:rsid w:val="50D97BF5"/>
    <w:rsid w:val="510C05F6"/>
    <w:rsid w:val="51164E29"/>
    <w:rsid w:val="51663C9A"/>
    <w:rsid w:val="51774FE5"/>
    <w:rsid w:val="51D43D07"/>
    <w:rsid w:val="525B5E53"/>
    <w:rsid w:val="5314426D"/>
    <w:rsid w:val="536F7A4A"/>
    <w:rsid w:val="541F721C"/>
    <w:rsid w:val="54801843"/>
    <w:rsid w:val="54AD25D8"/>
    <w:rsid w:val="54EE666D"/>
    <w:rsid w:val="5599D6D3"/>
    <w:rsid w:val="55DD52C1"/>
    <w:rsid w:val="561F0B20"/>
    <w:rsid w:val="56881A0F"/>
    <w:rsid w:val="56963A5E"/>
    <w:rsid w:val="56A26632"/>
    <w:rsid w:val="56EF634F"/>
    <w:rsid w:val="56FF222C"/>
    <w:rsid w:val="570B1F9E"/>
    <w:rsid w:val="570C5CDB"/>
    <w:rsid w:val="57B79897"/>
    <w:rsid w:val="57F5C41D"/>
    <w:rsid w:val="585146C8"/>
    <w:rsid w:val="58C779E0"/>
    <w:rsid w:val="59AD6BD6"/>
    <w:rsid w:val="59ADC631"/>
    <w:rsid w:val="59DD2988"/>
    <w:rsid w:val="59FB2A32"/>
    <w:rsid w:val="5A0A04CC"/>
    <w:rsid w:val="5AFF321E"/>
    <w:rsid w:val="5B4E7A84"/>
    <w:rsid w:val="5B7EA3E9"/>
    <w:rsid w:val="5B9D1B1E"/>
    <w:rsid w:val="5BCC5A39"/>
    <w:rsid w:val="5BEF9706"/>
    <w:rsid w:val="5BFFE157"/>
    <w:rsid w:val="5C9E5420"/>
    <w:rsid w:val="5CAC6A8A"/>
    <w:rsid w:val="5D064F7B"/>
    <w:rsid w:val="5D582E99"/>
    <w:rsid w:val="5D5FCA30"/>
    <w:rsid w:val="5DCC78AD"/>
    <w:rsid w:val="5DDE6B4B"/>
    <w:rsid w:val="5DEB6D7F"/>
    <w:rsid w:val="5DF76BE1"/>
    <w:rsid w:val="5DFD7922"/>
    <w:rsid w:val="5E3840B8"/>
    <w:rsid w:val="5E7C20C7"/>
    <w:rsid w:val="5E965468"/>
    <w:rsid w:val="5EB56C59"/>
    <w:rsid w:val="5EBF785C"/>
    <w:rsid w:val="5EED41DB"/>
    <w:rsid w:val="5EF7EB1E"/>
    <w:rsid w:val="5F3215AC"/>
    <w:rsid w:val="5F5E6281"/>
    <w:rsid w:val="5F750196"/>
    <w:rsid w:val="5FBD93C6"/>
    <w:rsid w:val="5FBFA1DA"/>
    <w:rsid w:val="5FCF3D4A"/>
    <w:rsid w:val="5FE5D30C"/>
    <w:rsid w:val="5FE8776A"/>
    <w:rsid w:val="5FFAC157"/>
    <w:rsid w:val="5FFCD903"/>
    <w:rsid w:val="5FFF0041"/>
    <w:rsid w:val="5FFF811C"/>
    <w:rsid w:val="600F70A7"/>
    <w:rsid w:val="606621B4"/>
    <w:rsid w:val="60BF4586"/>
    <w:rsid w:val="60E81DBB"/>
    <w:rsid w:val="614B6D12"/>
    <w:rsid w:val="61E5A510"/>
    <w:rsid w:val="625C7A39"/>
    <w:rsid w:val="62F021A1"/>
    <w:rsid w:val="63490BD7"/>
    <w:rsid w:val="63A364B9"/>
    <w:rsid w:val="63BE1555"/>
    <w:rsid w:val="63FA6B1B"/>
    <w:rsid w:val="647F13A0"/>
    <w:rsid w:val="64B79261"/>
    <w:rsid w:val="64D33A17"/>
    <w:rsid w:val="65114A69"/>
    <w:rsid w:val="65442473"/>
    <w:rsid w:val="65594A90"/>
    <w:rsid w:val="6561001D"/>
    <w:rsid w:val="658E3D60"/>
    <w:rsid w:val="65F9C941"/>
    <w:rsid w:val="663754B0"/>
    <w:rsid w:val="66703608"/>
    <w:rsid w:val="66EDEF08"/>
    <w:rsid w:val="66F355ED"/>
    <w:rsid w:val="66FFF09D"/>
    <w:rsid w:val="67047C48"/>
    <w:rsid w:val="677A0108"/>
    <w:rsid w:val="679F2D57"/>
    <w:rsid w:val="679F61E3"/>
    <w:rsid w:val="67B236E0"/>
    <w:rsid w:val="67DD9C20"/>
    <w:rsid w:val="67FF0B6A"/>
    <w:rsid w:val="67FFD784"/>
    <w:rsid w:val="68F842D5"/>
    <w:rsid w:val="68FB333A"/>
    <w:rsid w:val="692C7B17"/>
    <w:rsid w:val="693C34D0"/>
    <w:rsid w:val="6A2B31C3"/>
    <w:rsid w:val="6AF369C1"/>
    <w:rsid w:val="6B7F24B4"/>
    <w:rsid w:val="6BC95AF1"/>
    <w:rsid w:val="6BEBED43"/>
    <w:rsid w:val="6BFF439A"/>
    <w:rsid w:val="6CEE572F"/>
    <w:rsid w:val="6D036DE1"/>
    <w:rsid w:val="6D374E14"/>
    <w:rsid w:val="6DFABB7D"/>
    <w:rsid w:val="6DFF3A58"/>
    <w:rsid w:val="6E4E6782"/>
    <w:rsid w:val="6E5B8151"/>
    <w:rsid w:val="6E613CA3"/>
    <w:rsid w:val="6E8B52E0"/>
    <w:rsid w:val="6EC7536C"/>
    <w:rsid w:val="6ECB1B80"/>
    <w:rsid w:val="6ED54C98"/>
    <w:rsid w:val="6EF54E4F"/>
    <w:rsid w:val="6EF722B4"/>
    <w:rsid w:val="6F045092"/>
    <w:rsid w:val="6F0E7983"/>
    <w:rsid w:val="6F54013B"/>
    <w:rsid w:val="6F5C7C70"/>
    <w:rsid w:val="6F636604"/>
    <w:rsid w:val="6F7C3251"/>
    <w:rsid w:val="6FDFA327"/>
    <w:rsid w:val="6FEF813C"/>
    <w:rsid w:val="6FFEBBA4"/>
    <w:rsid w:val="6FFF2EE4"/>
    <w:rsid w:val="70657DB3"/>
    <w:rsid w:val="706933FF"/>
    <w:rsid w:val="708E10B8"/>
    <w:rsid w:val="718E295C"/>
    <w:rsid w:val="71B9DEF1"/>
    <w:rsid w:val="71D68E8F"/>
    <w:rsid w:val="72A619EF"/>
    <w:rsid w:val="72BD28C7"/>
    <w:rsid w:val="72E07771"/>
    <w:rsid w:val="734F0FD2"/>
    <w:rsid w:val="73645B8D"/>
    <w:rsid w:val="737415B2"/>
    <w:rsid w:val="737782FA"/>
    <w:rsid w:val="73FE15E2"/>
    <w:rsid w:val="74640AAD"/>
    <w:rsid w:val="74B66E2F"/>
    <w:rsid w:val="753D6AD7"/>
    <w:rsid w:val="756F6031"/>
    <w:rsid w:val="75752846"/>
    <w:rsid w:val="75861DE0"/>
    <w:rsid w:val="75BE4D01"/>
    <w:rsid w:val="75C537CD"/>
    <w:rsid w:val="75ED5D32"/>
    <w:rsid w:val="75F7986D"/>
    <w:rsid w:val="761E723F"/>
    <w:rsid w:val="7621652A"/>
    <w:rsid w:val="767F21FC"/>
    <w:rsid w:val="76C94E97"/>
    <w:rsid w:val="772B62BA"/>
    <w:rsid w:val="775E8BE0"/>
    <w:rsid w:val="77D731B2"/>
    <w:rsid w:val="77EE2232"/>
    <w:rsid w:val="77EE2B35"/>
    <w:rsid w:val="77F78E5A"/>
    <w:rsid w:val="77F79C87"/>
    <w:rsid w:val="77FB7C32"/>
    <w:rsid w:val="77FED90E"/>
    <w:rsid w:val="78AE0E5B"/>
    <w:rsid w:val="78FFED4B"/>
    <w:rsid w:val="79B78283"/>
    <w:rsid w:val="79BD07B4"/>
    <w:rsid w:val="79D0253E"/>
    <w:rsid w:val="79EFA7F3"/>
    <w:rsid w:val="79F7B33A"/>
    <w:rsid w:val="7A41363F"/>
    <w:rsid w:val="7A5FC09C"/>
    <w:rsid w:val="7A69A029"/>
    <w:rsid w:val="7A903C7E"/>
    <w:rsid w:val="7A9FE6A1"/>
    <w:rsid w:val="7ABDC7F7"/>
    <w:rsid w:val="7ADAAE1A"/>
    <w:rsid w:val="7AEB8721"/>
    <w:rsid w:val="7AEF905F"/>
    <w:rsid w:val="7AF7DB34"/>
    <w:rsid w:val="7AF8CBB4"/>
    <w:rsid w:val="7B0B2293"/>
    <w:rsid w:val="7B5D40A8"/>
    <w:rsid w:val="7BAECD8E"/>
    <w:rsid w:val="7BBDD95A"/>
    <w:rsid w:val="7BDFE7AB"/>
    <w:rsid w:val="7C126E81"/>
    <w:rsid w:val="7C6A0C2B"/>
    <w:rsid w:val="7C75772A"/>
    <w:rsid w:val="7C7A9AB6"/>
    <w:rsid w:val="7C8F034D"/>
    <w:rsid w:val="7C96D794"/>
    <w:rsid w:val="7C9790BD"/>
    <w:rsid w:val="7C9A45E8"/>
    <w:rsid w:val="7CCF418F"/>
    <w:rsid w:val="7CEA9EFA"/>
    <w:rsid w:val="7CF4BC7D"/>
    <w:rsid w:val="7CF6B899"/>
    <w:rsid w:val="7D253A4A"/>
    <w:rsid w:val="7D2A0123"/>
    <w:rsid w:val="7D5333FA"/>
    <w:rsid w:val="7D659D25"/>
    <w:rsid w:val="7D690EE2"/>
    <w:rsid w:val="7DA1AAF4"/>
    <w:rsid w:val="7DB66434"/>
    <w:rsid w:val="7DBF7E54"/>
    <w:rsid w:val="7DDFC53D"/>
    <w:rsid w:val="7DEDF204"/>
    <w:rsid w:val="7DF61FB2"/>
    <w:rsid w:val="7E6B34CC"/>
    <w:rsid w:val="7E7AF17E"/>
    <w:rsid w:val="7E8794CC"/>
    <w:rsid w:val="7EEA5C7C"/>
    <w:rsid w:val="7EF8981A"/>
    <w:rsid w:val="7EFAF087"/>
    <w:rsid w:val="7EFB919C"/>
    <w:rsid w:val="7F2D745D"/>
    <w:rsid w:val="7F3A5E3D"/>
    <w:rsid w:val="7F5F7FB2"/>
    <w:rsid w:val="7F6511C5"/>
    <w:rsid w:val="7F6BBE5D"/>
    <w:rsid w:val="7F766A90"/>
    <w:rsid w:val="7F771F4E"/>
    <w:rsid w:val="7F7D58EC"/>
    <w:rsid w:val="7F7EF7EC"/>
    <w:rsid w:val="7F8F3690"/>
    <w:rsid w:val="7F9FCFF1"/>
    <w:rsid w:val="7FBF4AFF"/>
    <w:rsid w:val="7FCB7F2B"/>
    <w:rsid w:val="7FD71871"/>
    <w:rsid w:val="7FDB2A3B"/>
    <w:rsid w:val="7FFAE76A"/>
    <w:rsid w:val="7FFD4AC4"/>
    <w:rsid w:val="7FFD8839"/>
    <w:rsid w:val="7FFDB6B7"/>
    <w:rsid w:val="7FFEB9BB"/>
    <w:rsid w:val="7FFF5BAD"/>
    <w:rsid w:val="81EF6378"/>
    <w:rsid w:val="8F7D5A20"/>
    <w:rsid w:val="93FF2690"/>
    <w:rsid w:val="97E25E82"/>
    <w:rsid w:val="99FD5B98"/>
    <w:rsid w:val="9B773D9C"/>
    <w:rsid w:val="9B778DA2"/>
    <w:rsid w:val="9BB3A69C"/>
    <w:rsid w:val="9BFDEA72"/>
    <w:rsid w:val="9D4B5CFF"/>
    <w:rsid w:val="9D6BD125"/>
    <w:rsid w:val="9FDF05CA"/>
    <w:rsid w:val="A7F73B22"/>
    <w:rsid w:val="ABDED88B"/>
    <w:rsid w:val="ADE3C1E5"/>
    <w:rsid w:val="ADFD0D49"/>
    <w:rsid w:val="AEB6B851"/>
    <w:rsid w:val="AF7E2A49"/>
    <w:rsid w:val="AFDBA861"/>
    <w:rsid w:val="AFDFA3FC"/>
    <w:rsid w:val="AFE38BD3"/>
    <w:rsid w:val="B19EDF0D"/>
    <w:rsid w:val="B2FED83E"/>
    <w:rsid w:val="B3FB5F40"/>
    <w:rsid w:val="B3FCE15A"/>
    <w:rsid w:val="B3FED246"/>
    <w:rsid w:val="B4BFBC0D"/>
    <w:rsid w:val="B5CFB425"/>
    <w:rsid w:val="B6BA5240"/>
    <w:rsid w:val="B77B2B53"/>
    <w:rsid w:val="B77BD25F"/>
    <w:rsid w:val="B7B50914"/>
    <w:rsid w:val="B9FB3499"/>
    <w:rsid w:val="BB7F1F22"/>
    <w:rsid w:val="BC748F2B"/>
    <w:rsid w:val="BD9E4268"/>
    <w:rsid w:val="BDDFF3CD"/>
    <w:rsid w:val="BDE54D0E"/>
    <w:rsid w:val="BE7F909E"/>
    <w:rsid w:val="BECF791E"/>
    <w:rsid w:val="BEDD774D"/>
    <w:rsid w:val="BEDFDA40"/>
    <w:rsid w:val="BEECB8D0"/>
    <w:rsid w:val="BFBDC979"/>
    <w:rsid w:val="C2FEE2C7"/>
    <w:rsid w:val="CCBB2747"/>
    <w:rsid w:val="CDBD2303"/>
    <w:rsid w:val="CDEF5761"/>
    <w:rsid w:val="CF3BC88F"/>
    <w:rsid w:val="CF7F50C2"/>
    <w:rsid w:val="CFF395D7"/>
    <w:rsid w:val="CFFE02BA"/>
    <w:rsid w:val="CFFF8B5F"/>
    <w:rsid w:val="D62251BD"/>
    <w:rsid w:val="D7FD49C3"/>
    <w:rsid w:val="D7FF8180"/>
    <w:rsid w:val="DA91BD7E"/>
    <w:rsid w:val="DBFD60EF"/>
    <w:rsid w:val="DC3FD340"/>
    <w:rsid w:val="DD8F4CE4"/>
    <w:rsid w:val="DD8FAAB8"/>
    <w:rsid w:val="DDFD291F"/>
    <w:rsid w:val="DE7F9FDB"/>
    <w:rsid w:val="DEEEE4A8"/>
    <w:rsid w:val="DF5DC3D1"/>
    <w:rsid w:val="DF7FA6DB"/>
    <w:rsid w:val="DFB66086"/>
    <w:rsid w:val="DFD6C0B0"/>
    <w:rsid w:val="DFE7A6B7"/>
    <w:rsid w:val="DFECCAA9"/>
    <w:rsid w:val="DFEF9643"/>
    <w:rsid w:val="DFFAD030"/>
    <w:rsid w:val="DFFCCCAF"/>
    <w:rsid w:val="E35FE1D8"/>
    <w:rsid w:val="E3EF03D0"/>
    <w:rsid w:val="E57F0D1A"/>
    <w:rsid w:val="E65EA326"/>
    <w:rsid w:val="E6BBA077"/>
    <w:rsid w:val="E79FE765"/>
    <w:rsid w:val="E7BFE406"/>
    <w:rsid w:val="E7EABE92"/>
    <w:rsid w:val="E7FBE67B"/>
    <w:rsid w:val="E7FEE109"/>
    <w:rsid w:val="EAFC13D3"/>
    <w:rsid w:val="EB5AD383"/>
    <w:rsid w:val="EB6FC471"/>
    <w:rsid w:val="ECEF4489"/>
    <w:rsid w:val="EDA3896C"/>
    <w:rsid w:val="EDD3966C"/>
    <w:rsid w:val="EE3BCE58"/>
    <w:rsid w:val="EEFAC882"/>
    <w:rsid w:val="EFCDB6EF"/>
    <w:rsid w:val="EFCFDE36"/>
    <w:rsid w:val="EFD60FBB"/>
    <w:rsid w:val="EFED9682"/>
    <w:rsid w:val="EFFBBA31"/>
    <w:rsid w:val="EFFF0FAE"/>
    <w:rsid w:val="F0AF6325"/>
    <w:rsid w:val="F0FF417B"/>
    <w:rsid w:val="F1A3109C"/>
    <w:rsid w:val="F2BFE505"/>
    <w:rsid w:val="F35B85AF"/>
    <w:rsid w:val="F3BF5D41"/>
    <w:rsid w:val="F3ECC856"/>
    <w:rsid w:val="F3EF74D0"/>
    <w:rsid w:val="F3FD0BEB"/>
    <w:rsid w:val="F3FF428F"/>
    <w:rsid w:val="F5BD5434"/>
    <w:rsid w:val="F65BA233"/>
    <w:rsid w:val="F6BF8F78"/>
    <w:rsid w:val="F6CEFB73"/>
    <w:rsid w:val="F6DC12E0"/>
    <w:rsid w:val="F7A77693"/>
    <w:rsid w:val="F7B2C6EC"/>
    <w:rsid w:val="F7CEAE53"/>
    <w:rsid w:val="F7CEFBEA"/>
    <w:rsid w:val="F7D36E8D"/>
    <w:rsid w:val="F7EEB119"/>
    <w:rsid w:val="F7F97C73"/>
    <w:rsid w:val="F7FF1A69"/>
    <w:rsid w:val="F8FB9995"/>
    <w:rsid w:val="F8FEB73A"/>
    <w:rsid w:val="F97DE9D7"/>
    <w:rsid w:val="F9B6691A"/>
    <w:rsid w:val="FAD39A79"/>
    <w:rsid w:val="FB7B2B62"/>
    <w:rsid w:val="FB9F628C"/>
    <w:rsid w:val="FBAF35BC"/>
    <w:rsid w:val="FBAF6720"/>
    <w:rsid w:val="FBBE96D7"/>
    <w:rsid w:val="FBBFD154"/>
    <w:rsid w:val="FBD524EE"/>
    <w:rsid w:val="FBDF8C37"/>
    <w:rsid w:val="FBF72512"/>
    <w:rsid w:val="FBF76726"/>
    <w:rsid w:val="FBFADBD7"/>
    <w:rsid w:val="FBFC97D4"/>
    <w:rsid w:val="FBFDBE6C"/>
    <w:rsid w:val="FC226498"/>
    <w:rsid w:val="FC7FD35C"/>
    <w:rsid w:val="FD338641"/>
    <w:rsid w:val="FD3D45C4"/>
    <w:rsid w:val="FD3D6202"/>
    <w:rsid w:val="FD6EDA5E"/>
    <w:rsid w:val="FD7EE5D8"/>
    <w:rsid w:val="FDBB10B0"/>
    <w:rsid w:val="FDBECB99"/>
    <w:rsid w:val="FDBFDCA4"/>
    <w:rsid w:val="FDDB29C8"/>
    <w:rsid w:val="FDEF6915"/>
    <w:rsid w:val="FDF282AF"/>
    <w:rsid w:val="FDFA6483"/>
    <w:rsid w:val="FDFD66D6"/>
    <w:rsid w:val="FDFDBD3D"/>
    <w:rsid w:val="FDFF4E94"/>
    <w:rsid w:val="FE675C0F"/>
    <w:rsid w:val="FE9FD5E2"/>
    <w:rsid w:val="FEA537DC"/>
    <w:rsid w:val="FECED1FF"/>
    <w:rsid w:val="FEDFBCE5"/>
    <w:rsid w:val="FEE79F9F"/>
    <w:rsid w:val="FEFB635A"/>
    <w:rsid w:val="FF1F9879"/>
    <w:rsid w:val="FF328702"/>
    <w:rsid w:val="FF57AD4F"/>
    <w:rsid w:val="FF599DF3"/>
    <w:rsid w:val="FF5DA66C"/>
    <w:rsid w:val="FF672B98"/>
    <w:rsid w:val="FF7653E2"/>
    <w:rsid w:val="FF7AE8AD"/>
    <w:rsid w:val="FF7D41AA"/>
    <w:rsid w:val="FF7D97DF"/>
    <w:rsid w:val="FF7ED386"/>
    <w:rsid w:val="FF7FA335"/>
    <w:rsid w:val="FF97B779"/>
    <w:rsid w:val="FFB75634"/>
    <w:rsid w:val="FFBAC4D4"/>
    <w:rsid w:val="FFBF2FF3"/>
    <w:rsid w:val="FFDEE842"/>
    <w:rsid w:val="FFE541C3"/>
    <w:rsid w:val="FFEB7D06"/>
    <w:rsid w:val="FFEC97D1"/>
    <w:rsid w:val="FFECC893"/>
    <w:rsid w:val="FFF37EDB"/>
    <w:rsid w:val="FFF48FED"/>
    <w:rsid w:val="FFF61468"/>
    <w:rsid w:val="FFF6E513"/>
    <w:rsid w:val="FFFA4477"/>
    <w:rsid w:val="FFFA4985"/>
    <w:rsid w:val="FFFB76EB"/>
    <w:rsid w:val="FFFB8D27"/>
    <w:rsid w:val="FFFC8B7D"/>
    <w:rsid w:val="FFFE4663"/>
    <w:rsid w:val="FFFF4A3C"/>
    <w:rsid w:val="FFFF9E4F"/>
    <w:rsid w:val="FFFFC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等线" w:hAnsi="等线" w:eastAsia="等线"/>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Calibri Light" w:hAnsi="Calibri Light" w:cs="Mongolian Baiti"/>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link w:val="9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Normal Indent"/>
    <w:basedOn w:val="1"/>
    <w:next w:val="1"/>
    <w:qFormat/>
    <w:uiPriority w:val="0"/>
    <w:pPr>
      <w:ind w:firstLine="420"/>
    </w:pPr>
  </w:style>
  <w:style w:type="paragraph" w:styleId="8">
    <w:name w:val="annotation text"/>
    <w:basedOn w:val="1"/>
    <w:link w:val="44"/>
    <w:unhideWhenUsed/>
    <w:qFormat/>
    <w:uiPriority w:val="99"/>
    <w:pPr>
      <w:jc w:val="left"/>
    </w:pPr>
  </w:style>
  <w:style w:type="paragraph" w:styleId="9">
    <w:name w:val="Salutation"/>
    <w:basedOn w:val="1"/>
    <w:next w:val="1"/>
    <w:link w:val="45"/>
    <w:qFormat/>
    <w:uiPriority w:val="0"/>
    <w:rPr>
      <w:szCs w:val="20"/>
      <w:lang w:bidi="mn-Mong-CN"/>
    </w:rPr>
  </w:style>
  <w:style w:type="paragraph" w:styleId="10">
    <w:name w:val="Body Text"/>
    <w:basedOn w:val="1"/>
    <w:link w:val="40"/>
    <w:qFormat/>
    <w:uiPriority w:val="0"/>
    <w:pPr>
      <w:spacing w:before="39"/>
      <w:ind w:left="111"/>
      <w:jc w:val="left"/>
    </w:pPr>
    <w:rPr>
      <w:rFonts w:ascii="仿宋_GB2312" w:hAnsi="仿宋_GB2312" w:eastAsia="仿宋_GB2312"/>
      <w:kern w:val="0"/>
      <w:sz w:val="30"/>
      <w:szCs w:val="30"/>
      <w:lang w:eastAsia="en-US"/>
    </w:rPr>
  </w:style>
  <w:style w:type="paragraph" w:styleId="11">
    <w:name w:val="Body Text Indent"/>
    <w:basedOn w:val="1"/>
    <w:semiHidden/>
    <w:unhideWhenUsed/>
    <w:qFormat/>
    <w:uiPriority w:val="99"/>
    <w:pPr>
      <w:spacing w:after="120"/>
      <w:ind w:left="420" w:leftChars="200"/>
    </w:pPr>
  </w:style>
  <w:style w:type="paragraph" w:styleId="12">
    <w:name w:val="toc 5"/>
    <w:basedOn w:val="1"/>
    <w:next w:val="1"/>
    <w:unhideWhenUsed/>
    <w:qFormat/>
    <w:uiPriority w:val="39"/>
    <w:pPr>
      <w:ind w:left="840"/>
      <w:jc w:val="left"/>
    </w:pPr>
    <w:rPr>
      <w:rFonts w:ascii="等线" w:eastAsia="等线"/>
      <w:sz w:val="18"/>
      <w:szCs w:val="18"/>
    </w:rPr>
  </w:style>
  <w:style w:type="paragraph" w:styleId="13">
    <w:name w:val="toc 3"/>
    <w:basedOn w:val="1"/>
    <w:next w:val="1"/>
    <w:unhideWhenUsed/>
    <w:qFormat/>
    <w:uiPriority w:val="39"/>
    <w:pPr>
      <w:ind w:left="420"/>
      <w:jc w:val="left"/>
    </w:pPr>
    <w:rPr>
      <w:rFonts w:ascii="等线" w:eastAsia="等线"/>
      <w:i/>
      <w:iCs/>
      <w:sz w:val="20"/>
      <w:szCs w:val="20"/>
    </w:rPr>
  </w:style>
  <w:style w:type="paragraph" w:styleId="14">
    <w:name w:val="toc 8"/>
    <w:basedOn w:val="1"/>
    <w:next w:val="1"/>
    <w:unhideWhenUsed/>
    <w:qFormat/>
    <w:uiPriority w:val="39"/>
    <w:pPr>
      <w:ind w:left="1470"/>
      <w:jc w:val="left"/>
    </w:pPr>
    <w:rPr>
      <w:rFonts w:ascii="等线" w:eastAsia="等线"/>
      <w:sz w:val="18"/>
      <w:szCs w:val="18"/>
    </w:rPr>
  </w:style>
  <w:style w:type="paragraph" w:styleId="15">
    <w:name w:val="Date"/>
    <w:basedOn w:val="1"/>
    <w:next w:val="1"/>
    <w:link w:val="46"/>
    <w:unhideWhenUsed/>
    <w:qFormat/>
    <w:uiPriority w:val="99"/>
    <w:pPr>
      <w:ind w:left="100" w:leftChars="2500"/>
    </w:pPr>
  </w:style>
  <w:style w:type="paragraph" w:styleId="16">
    <w:name w:val="Body Text Indent 2"/>
    <w:basedOn w:val="1"/>
    <w:next w:val="1"/>
    <w:link w:val="47"/>
    <w:qFormat/>
    <w:uiPriority w:val="0"/>
    <w:pPr>
      <w:spacing w:after="120" w:line="480" w:lineRule="auto"/>
      <w:ind w:left="420" w:leftChars="200" w:firstLine="200" w:firstLineChars="200"/>
    </w:pPr>
    <w:rPr>
      <w:szCs w:val="24"/>
    </w:rPr>
  </w:style>
  <w:style w:type="paragraph" w:styleId="17">
    <w:name w:val="endnote text"/>
    <w:basedOn w:val="1"/>
    <w:link w:val="48"/>
    <w:unhideWhenUsed/>
    <w:qFormat/>
    <w:uiPriority w:val="99"/>
    <w:pPr>
      <w:snapToGrid w:val="0"/>
      <w:jc w:val="left"/>
    </w:pPr>
  </w:style>
  <w:style w:type="paragraph" w:styleId="18">
    <w:name w:val="Balloon Text"/>
    <w:basedOn w:val="1"/>
    <w:link w:val="49"/>
    <w:unhideWhenUsed/>
    <w:qFormat/>
    <w:uiPriority w:val="99"/>
    <w:rPr>
      <w:sz w:val="18"/>
      <w:szCs w:val="18"/>
    </w:rPr>
  </w:style>
  <w:style w:type="paragraph" w:styleId="19">
    <w:name w:val="footer"/>
    <w:basedOn w:val="1"/>
    <w:link w:val="50"/>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20">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120" w:after="120"/>
      <w:jc w:val="left"/>
    </w:pPr>
    <w:rPr>
      <w:rFonts w:ascii="等线" w:eastAsia="等线"/>
      <w:b/>
      <w:bCs/>
      <w:caps/>
      <w:sz w:val="20"/>
      <w:szCs w:val="20"/>
    </w:rPr>
  </w:style>
  <w:style w:type="paragraph" w:styleId="22">
    <w:name w:val="toc 4"/>
    <w:basedOn w:val="1"/>
    <w:next w:val="1"/>
    <w:unhideWhenUsed/>
    <w:qFormat/>
    <w:uiPriority w:val="39"/>
    <w:pPr>
      <w:ind w:left="630"/>
      <w:jc w:val="left"/>
    </w:pPr>
    <w:rPr>
      <w:rFonts w:ascii="等线" w:eastAsia="等线"/>
      <w:sz w:val="18"/>
      <w:szCs w:val="18"/>
    </w:rPr>
  </w:style>
  <w:style w:type="paragraph" w:styleId="23">
    <w:name w:val="footnote text"/>
    <w:basedOn w:val="1"/>
    <w:link w:val="52"/>
    <w:unhideWhenUsed/>
    <w:qFormat/>
    <w:uiPriority w:val="99"/>
    <w:pPr>
      <w:snapToGrid w:val="0"/>
      <w:jc w:val="left"/>
    </w:pPr>
    <w:rPr>
      <w:sz w:val="18"/>
      <w:szCs w:val="18"/>
    </w:rPr>
  </w:style>
  <w:style w:type="paragraph" w:styleId="24">
    <w:name w:val="toc 6"/>
    <w:basedOn w:val="1"/>
    <w:next w:val="1"/>
    <w:unhideWhenUsed/>
    <w:qFormat/>
    <w:uiPriority w:val="39"/>
    <w:pPr>
      <w:ind w:left="1050"/>
      <w:jc w:val="left"/>
    </w:pPr>
    <w:rPr>
      <w:rFonts w:ascii="等线" w:eastAsia="等线"/>
      <w:sz w:val="18"/>
      <w:szCs w:val="18"/>
    </w:rPr>
  </w:style>
  <w:style w:type="paragraph" w:styleId="25">
    <w:name w:val="toc 2"/>
    <w:basedOn w:val="1"/>
    <w:next w:val="1"/>
    <w:unhideWhenUsed/>
    <w:qFormat/>
    <w:uiPriority w:val="39"/>
    <w:pPr>
      <w:ind w:left="210"/>
      <w:jc w:val="left"/>
    </w:pPr>
    <w:rPr>
      <w:rFonts w:ascii="等线" w:eastAsia="等线"/>
      <w:smallCaps/>
      <w:sz w:val="20"/>
      <w:szCs w:val="20"/>
    </w:rPr>
  </w:style>
  <w:style w:type="paragraph" w:styleId="26">
    <w:name w:val="toc 9"/>
    <w:basedOn w:val="1"/>
    <w:next w:val="1"/>
    <w:unhideWhenUsed/>
    <w:qFormat/>
    <w:uiPriority w:val="39"/>
    <w:pPr>
      <w:ind w:left="1680"/>
      <w:jc w:val="left"/>
    </w:pPr>
    <w:rPr>
      <w:rFonts w:ascii="等线" w:eastAsia="等线"/>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53"/>
    <w:unhideWhenUsed/>
    <w:qFormat/>
    <w:uiPriority w:val="99"/>
    <w:rPr>
      <w:b/>
      <w:bCs/>
    </w:rPr>
  </w:style>
  <w:style w:type="paragraph" w:styleId="29">
    <w:name w:val="Body Text First Indent 2"/>
    <w:basedOn w:val="11"/>
    <w:unhideWhenUsed/>
    <w:qFormat/>
    <w:uiPriority w:val="99"/>
    <w:pPr>
      <w:ind w:firstLine="420"/>
    </w:pPr>
  </w:style>
  <w:style w:type="table" w:styleId="31">
    <w:name w:val="Table Grid"/>
    <w:basedOn w:val="30"/>
    <w:qFormat/>
    <w:uiPriority w:val="59"/>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endnote reference"/>
    <w:unhideWhenUsed/>
    <w:qFormat/>
    <w:uiPriority w:val="99"/>
    <w:rPr>
      <w:vertAlign w:val="superscript"/>
    </w:rPr>
  </w:style>
  <w:style w:type="character" w:styleId="35">
    <w:name w:val="page number"/>
    <w:qFormat/>
    <w:uiPriority w:val="0"/>
    <w:rPr>
      <w:rFonts w:ascii="Times New Roman" w:hAnsi="Times New Roman" w:eastAsia="宋体"/>
      <w:sz w:val="18"/>
    </w:rPr>
  </w:style>
  <w:style w:type="character" w:styleId="36">
    <w:name w:val="Emphasis"/>
    <w:qFormat/>
    <w:uiPriority w:val="20"/>
    <w:rPr>
      <w:i/>
    </w:rPr>
  </w:style>
  <w:style w:type="character" w:styleId="37">
    <w:name w:val="Hyperlink"/>
    <w:basedOn w:val="32"/>
    <w:unhideWhenUsed/>
    <w:qFormat/>
    <w:uiPriority w:val="99"/>
    <w:rPr>
      <w:color w:val="0563C1"/>
      <w:u w:val="single"/>
    </w:rPr>
  </w:style>
  <w:style w:type="character" w:styleId="38">
    <w:name w:val="annotation reference"/>
    <w:unhideWhenUsed/>
    <w:qFormat/>
    <w:uiPriority w:val="99"/>
    <w:rPr>
      <w:sz w:val="21"/>
      <w:szCs w:val="21"/>
    </w:rPr>
  </w:style>
  <w:style w:type="character" w:styleId="39">
    <w:name w:val="footnote reference"/>
    <w:unhideWhenUsed/>
    <w:qFormat/>
    <w:uiPriority w:val="99"/>
    <w:rPr>
      <w:vertAlign w:val="superscript"/>
    </w:rPr>
  </w:style>
  <w:style w:type="character" w:customStyle="1" w:styleId="40">
    <w:name w:val="正文文本 Char1"/>
    <w:link w:val="10"/>
    <w:qFormat/>
    <w:uiPriority w:val="0"/>
    <w:rPr>
      <w:rFonts w:ascii="仿宋_GB2312" w:hAnsi="仿宋_GB2312" w:eastAsia="仿宋_GB2312" w:cs="Times New Roman"/>
      <w:sz w:val="30"/>
      <w:szCs w:val="30"/>
      <w:lang w:eastAsia="en-US" w:bidi="ar-SA"/>
    </w:rPr>
  </w:style>
  <w:style w:type="character" w:customStyle="1" w:styleId="41">
    <w:name w:val="标题 1 Char1"/>
    <w:link w:val="2"/>
    <w:qFormat/>
    <w:uiPriority w:val="0"/>
    <w:rPr>
      <w:rFonts w:ascii="等线" w:hAnsi="等线" w:eastAsia="等线" w:cs="Times New Roman"/>
      <w:b/>
      <w:bCs/>
      <w:kern w:val="44"/>
      <w:sz w:val="44"/>
      <w:szCs w:val="44"/>
      <w:lang w:bidi="ar-SA"/>
    </w:rPr>
  </w:style>
  <w:style w:type="character" w:customStyle="1" w:styleId="42">
    <w:name w:val="标题 2 Char1"/>
    <w:link w:val="3"/>
    <w:qFormat/>
    <w:uiPriority w:val="9"/>
    <w:rPr>
      <w:rFonts w:ascii="Calibri Light" w:hAnsi="Calibri Light" w:eastAsia="宋体" w:cs="Mongolian Baiti"/>
      <w:b/>
      <w:bCs/>
      <w:sz w:val="32"/>
      <w:szCs w:val="32"/>
      <w:lang w:bidi="ar-SA"/>
    </w:rPr>
  </w:style>
  <w:style w:type="character" w:customStyle="1" w:styleId="43">
    <w:name w:val="标题 3 Char"/>
    <w:link w:val="4"/>
    <w:semiHidden/>
    <w:qFormat/>
    <w:uiPriority w:val="9"/>
    <w:rPr>
      <w:rFonts w:ascii="Times New Roman" w:hAnsi="Times New Roman" w:eastAsia="宋体" w:cs="Times New Roman"/>
      <w:b/>
      <w:bCs/>
      <w:kern w:val="2"/>
      <w:sz w:val="32"/>
      <w:szCs w:val="32"/>
      <w:lang w:bidi="ar-SA"/>
    </w:rPr>
  </w:style>
  <w:style w:type="character" w:customStyle="1" w:styleId="44">
    <w:name w:val="批注文字 Char"/>
    <w:link w:val="8"/>
    <w:qFormat/>
    <w:uiPriority w:val="99"/>
    <w:rPr>
      <w:rFonts w:ascii="Times New Roman" w:hAnsi="Times New Roman" w:eastAsia="宋体" w:cs="Times New Roman"/>
      <w:szCs w:val="22"/>
      <w:lang w:bidi="ar-SA"/>
    </w:rPr>
  </w:style>
  <w:style w:type="character" w:customStyle="1" w:styleId="45">
    <w:name w:val="称呼 Char"/>
    <w:link w:val="9"/>
    <w:qFormat/>
    <w:uiPriority w:val="0"/>
    <w:rPr>
      <w:rFonts w:ascii="Times New Roman" w:hAnsi="Times New Roman" w:eastAsia="宋体" w:cs="Times New Roman"/>
      <w:kern w:val="2"/>
      <w:sz w:val="21"/>
    </w:rPr>
  </w:style>
  <w:style w:type="character" w:customStyle="1" w:styleId="46">
    <w:name w:val="日期 Char"/>
    <w:link w:val="15"/>
    <w:semiHidden/>
    <w:qFormat/>
    <w:uiPriority w:val="99"/>
    <w:rPr>
      <w:rFonts w:ascii="Times New Roman" w:hAnsi="Times New Roman" w:eastAsia="宋体" w:cs="Times New Roman"/>
      <w:kern w:val="2"/>
      <w:sz w:val="21"/>
      <w:szCs w:val="22"/>
      <w:lang w:bidi="ar-SA"/>
    </w:rPr>
  </w:style>
  <w:style w:type="character" w:customStyle="1" w:styleId="47">
    <w:name w:val="正文文本缩进 2 Char"/>
    <w:link w:val="16"/>
    <w:qFormat/>
    <w:uiPriority w:val="0"/>
    <w:rPr>
      <w:rFonts w:ascii="Times New Roman" w:hAnsi="Times New Roman" w:eastAsia="宋体" w:cs="Times New Roman"/>
      <w:kern w:val="2"/>
      <w:sz w:val="21"/>
      <w:szCs w:val="24"/>
      <w:lang w:bidi="ar-SA"/>
    </w:rPr>
  </w:style>
  <w:style w:type="character" w:customStyle="1" w:styleId="48">
    <w:name w:val="尾注文本 Char"/>
    <w:link w:val="17"/>
    <w:semiHidden/>
    <w:qFormat/>
    <w:uiPriority w:val="99"/>
    <w:rPr>
      <w:rFonts w:ascii="Times New Roman" w:hAnsi="Times New Roman" w:eastAsia="宋体" w:cs="Times New Roman"/>
      <w:kern w:val="2"/>
      <w:sz w:val="21"/>
      <w:szCs w:val="22"/>
      <w:lang w:bidi="ar-SA"/>
    </w:rPr>
  </w:style>
  <w:style w:type="character" w:customStyle="1" w:styleId="49">
    <w:name w:val="批注框文本 Char"/>
    <w:link w:val="18"/>
    <w:semiHidden/>
    <w:qFormat/>
    <w:uiPriority w:val="99"/>
    <w:rPr>
      <w:rFonts w:ascii="Times New Roman" w:hAnsi="Times New Roman" w:eastAsia="宋体" w:cs="Times New Roman"/>
      <w:sz w:val="18"/>
      <w:szCs w:val="18"/>
      <w:lang w:bidi="ar-SA"/>
    </w:rPr>
  </w:style>
  <w:style w:type="character" w:customStyle="1" w:styleId="50">
    <w:name w:val="页脚 Char1"/>
    <w:link w:val="19"/>
    <w:qFormat/>
    <w:uiPriority w:val="99"/>
    <w:rPr>
      <w:rFonts w:ascii="等线" w:hAnsi="等线" w:eastAsia="等线" w:cs="Times New Roman"/>
      <w:sz w:val="18"/>
      <w:szCs w:val="18"/>
      <w:lang w:bidi="ar-SA"/>
    </w:rPr>
  </w:style>
  <w:style w:type="character" w:customStyle="1" w:styleId="51">
    <w:name w:val="页眉 Char"/>
    <w:link w:val="20"/>
    <w:qFormat/>
    <w:uiPriority w:val="99"/>
    <w:rPr>
      <w:kern w:val="2"/>
      <w:sz w:val="18"/>
      <w:szCs w:val="18"/>
      <w:lang w:bidi="ar-SA"/>
    </w:rPr>
  </w:style>
  <w:style w:type="character" w:customStyle="1" w:styleId="52">
    <w:name w:val="脚注文本 Char"/>
    <w:link w:val="23"/>
    <w:semiHidden/>
    <w:qFormat/>
    <w:uiPriority w:val="99"/>
    <w:rPr>
      <w:rFonts w:ascii="Times New Roman" w:hAnsi="Times New Roman" w:eastAsia="宋体" w:cs="Times New Roman"/>
      <w:kern w:val="2"/>
      <w:sz w:val="18"/>
      <w:szCs w:val="18"/>
      <w:lang w:bidi="ar-SA"/>
    </w:rPr>
  </w:style>
  <w:style w:type="character" w:customStyle="1" w:styleId="53">
    <w:name w:val="批注主题 Char"/>
    <w:link w:val="28"/>
    <w:semiHidden/>
    <w:qFormat/>
    <w:uiPriority w:val="99"/>
    <w:rPr>
      <w:rFonts w:ascii="Times New Roman" w:hAnsi="Times New Roman" w:eastAsia="宋体" w:cs="Times New Roman"/>
      <w:b/>
      <w:bCs/>
      <w:szCs w:val="22"/>
      <w:lang w:bidi="ar-SA"/>
    </w:rPr>
  </w:style>
  <w:style w:type="character" w:customStyle="1" w:styleId="54">
    <w:name w:val="标题 1 Char"/>
    <w:qFormat/>
    <w:uiPriority w:val="0"/>
    <w:rPr>
      <w:rFonts w:ascii="Times New Roman" w:hAnsi="Times New Roman" w:eastAsia="宋体" w:cs="Times New Roman"/>
      <w:b/>
      <w:bCs/>
      <w:kern w:val="44"/>
      <w:sz w:val="44"/>
      <w:szCs w:val="44"/>
      <w:lang w:bidi="ar-SA"/>
    </w:rPr>
  </w:style>
  <w:style w:type="paragraph" w:customStyle="1" w:styleId="55">
    <w:name w:val="正文 A"/>
    <w:qFormat/>
    <w:uiPriority w:val="0"/>
    <w:pPr>
      <w:widowControl w:val="0"/>
      <w:spacing w:line="360" w:lineRule="auto"/>
      <w:ind w:firstLine="198"/>
      <w:jc w:val="both"/>
    </w:pPr>
    <w:rPr>
      <w:rFonts w:ascii="Times New Roman" w:hAnsi="Times New Roman" w:eastAsia="宋体" w:cs="Arial Unicode MS"/>
      <w:color w:val="000000"/>
      <w:kern w:val="2"/>
      <w:sz w:val="21"/>
      <w:szCs w:val="28"/>
      <w:lang w:val="en-US" w:eastAsia="zh-CN" w:bidi="ar-SA"/>
    </w:rPr>
  </w:style>
  <w:style w:type="paragraph" w:customStyle="1" w:styleId="56">
    <w:name w:val="导则标题2"/>
    <w:basedOn w:val="3"/>
    <w:link w:val="57"/>
    <w:qFormat/>
    <w:uiPriority w:val="0"/>
    <w:pPr>
      <w:spacing w:before="0" w:after="0" w:line="560" w:lineRule="exact"/>
      <w:ind w:firstLine="480" w:firstLineChars="200"/>
      <w:jc w:val="center"/>
    </w:pPr>
    <w:rPr>
      <w:rFonts w:ascii="黑体" w:hAnsi="黑体" w:eastAsia="黑体" w:cs="Times New Roman"/>
      <w:b w:val="0"/>
      <w:sz w:val="24"/>
      <w:szCs w:val="24"/>
      <w:lang w:val="zh-CN"/>
    </w:rPr>
  </w:style>
  <w:style w:type="character" w:customStyle="1" w:styleId="57">
    <w:name w:val="导则标题2 Char"/>
    <w:link w:val="56"/>
    <w:qFormat/>
    <w:uiPriority w:val="0"/>
    <w:rPr>
      <w:rFonts w:ascii="黑体" w:hAnsi="黑体" w:eastAsia="黑体" w:cs="Times New Roman"/>
      <w:bCs/>
      <w:sz w:val="24"/>
      <w:szCs w:val="24"/>
      <w:lang w:val="zh-CN" w:eastAsia="zh-CN" w:bidi="ar-SA"/>
    </w:rPr>
  </w:style>
  <w:style w:type="paragraph" w:customStyle="1" w:styleId="58">
    <w:name w:val="样式 条文 + 宋体"/>
    <w:basedOn w:val="1"/>
    <w:qFormat/>
    <w:uiPriority w:val="0"/>
    <w:pPr>
      <w:adjustRightInd w:val="0"/>
      <w:snapToGrid w:val="0"/>
      <w:ind w:firstLine="600" w:firstLineChars="250"/>
    </w:pPr>
    <w:rPr>
      <w:rFonts w:ascii="宋体" w:hAnsi="宋体"/>
      <w:color w:val="000000"/>
      <w:szCs w:val="20"/>
    </w:rPr>
  </w:style>
  <w:style w:type="character" w:customStyle="1" w:styleId="59">
    <w:name w:val="正文文本 Char"/>
    <w:semiHidden/>
    <w:qFormat/>
    <w:uiPriority w:val="99"/>
    <w:rPr>
      <w:rFonts w:ascii="Times New Roman" w:hAnsi="Times New Roman" w:eastAsia="宋体" w:cs="Times New Roman"/>
      <w:kern w:val="2"/>
      <w:sz w:val="21"/>
      <w:szCs w:val="22"/>
      <w:lang w:bidi="ar-SA"/>
    </w:rPr>
  </w:style>
  <w:style w:type="paragraph" w:customStyle="1" w:styleId="60">
    <w:name w:val="样式 样式 标题 1 + 黑体 五号 + 段前: 0.5 行 段后: 0.5 行"/>
    <w:basedOn w:val="1"/>
    <w:qFormat/>
    <w:uiPriority w:val="0"/>
    <w:pPr>
      <w:keepNext/>
      <w:tabs>
        <w:tab w:val="left" w:pos="360"/>
      </w:tabs>
      <w:spacing w:before="156" w:after="156" w:line="360" w:lineRule="exact"/>
      <w:ind w:left="360" w:hanging="360"/>
      <w:outlineLvl w:val="0"/>
    </w:pPr>
    <w:rPr>
      <w:rFonts w:ascii="黑体" w:hAnsi="黑体" w:eastAsia="黑体" w:cs="宋体"/>
      <w:b/>
      <w:bCs/>
      <w:szCs w:val="21"/>
    </w:rPr>
  </w:style>
  <w:style w:type="character" w:customStyle="1" w:styleId="61">
    <w:name w:val="页脚 Char"/>
    <w:semiHidden/>
    <w:qFormat/>
    <w:uiPriority w:val="99"/>
    <w:rPr>
      <w:rFonts w:ascii="Times New Roman" w:hAnsi="Times New Roman" w:eastAsia="宋体" w:cs="Times New Roman"/>
      <w:kern w:val="2"/>
      <w:sz w:val="18"/>
      <w:szCs w:val="18"/>
      <w:lang w:bidi="ar-SA"/>
    </w:rPr>
  </w:style>
  <w:style w:type="paragraph" w:customStyle="1" w:styleId="6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3">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4">
    <w:name w:val="_Style 30"/>
    <w:basedOn w:val="1"/>
    <w:next w:val="1"/>
    <w:unhideWhenUsed/>
    <w:qFormat/>
    <w:uiPriority w:val="39"/>
    <w:pPr>
      <w:spacing w:before="120" w:after="120"/>
      <w:jc w:val="left"/>
    </w:pPr>
    <w:rPr>
      <w:rFonts w:ascii="等线" w:hAnsi="等线" w:eastAsia="等线"/>
      <w:b/>
      <w:bCs/>
      <w:caps/>
      <w:sz w:val="20"/>
      <w:szCs w:val="20"/>
    </w:rPr>
  </w:style>
  <w:style w:type="character" w:customStyle="1" w:styleId="65">
    <w:name w:val="标题 1 字符"/>
    <w:qFormat/>
    <w:uiPriority w:val="0"/>
    <w:rPr>
      <w:b/>
      <w:bCs/>
      <w:kern w:val="44"/>
      <w:sz w:val="44"/>
      <w:szCs w:val="44"/>
    </w:rPr>
  </w:style>
  <w:style w:type="paragraph" w:customStyle="1" w:styleId="66">
    <w:name w:val="_Style 34"/>
    <w:basedOn w:val="1"/>
    <w:next w:val="67"/>
    <w:qFormat/>
    <w:uiPriority w:val="34"/>
    <w:pPr>
      <w:ind w:firstLine="420" w:firstLineChars="200"/>
    </w:pPr>
    <w:rPr>
      <w:rFonts w:ascii="等线" w:hAnsi="等线" w:eastAsia="等线"/>
    </w:rPr>
  </w:style>
  <w:style w:type="paragraph" w:customStyle="1" w:styleId="67">
    <w:name w:val="列出段落1"/>
    <w:basedOn w:val="1"/>
    <w:qFormat/>
    <w:uiPriority w:val="99"/>
    <w:pPr>
      <w:ind w:firstLine="420" w:firstLineChars="200"/>
    </w:pPr>
  </w:style>
  <w:style w:type="paragraph" w:customStyle="1" w:styleId="68">
    <w:name w:val="_Style 37"/>
    <w:basedOn w:val="1"/>
    <w:next w:val="67"/>
    <w:qFormat/>
    <w:uiPriority w:val="34"/>
    <w:pPr>
      <w:ind w:firstLine="420" w:firstLineChars="200"/>
    </w:pPr>
    <w:rPr>
      <w:rFonts w:ascii="等线" w:hAnsi="等线" w:eastAsia="等线"/>
    </w:rPr>
  </w:style>
  <w:style w:type="paragraph" w:customStyle="1" w:styleId="69">
    <w:name w:val="_Style 38"/>
    <w:basedOn w:val="1"/>
    <w:next w:val="67"/>
    <w:qFormat/>
    <w:uiPriority w:val="34"/>
    <w:pPr>
      <w:ind w:firstLine="420" w:firstLineChars="200"/>
    </w:pPr>
    <w:rPr>
      <w:rFonts w:ascii="等线" w:hAnsi="等线" w:eastAsia="等线"/>
    </w:rPr>
  </w:style>
  <w:style w:type="paragraph" w:customStyle="1" w:styleId="70">
    <w:name w:val="_Style 39"/>
    <w:basedOn w:val="1"/>
    <w:next w:val="67"/>
    <w:qFormat/>
    <w:uiPriority w:val="34"/>
    <w:pPr>
      <w:ind w:firstLine="420" w:firstLineChars="200"/>
    </w:pPr>
    <w:rPr>
      <w:rFonts w:ascii="等线" w:hAnsi="等线" w:eastAsia="等线"/>
    </w:rPr>
  </w:style>
  <w:style w:type="paragraph" w:customStyle="1" w:styleId="71">
    <w:name w:val="_Style 40"/>
    <w:basedOn w:val="1"/>
    <w:next w:val="67"/>
    <w:qFormat/>
    <w:uiPriority w:val="34"/>
    <w:pPr>
      <w:ind w:firstLine="420" w:firstLineChars="200"/>
    </w:pPr>
    <w:rPr>
      <w:rFonts w:ascii="等线" w:hAnsi="等线" w:eastAsia="等线"/>
    </w:rPr>
  </w:style>
  <w:style w:type="character" w:customStyle="1" w:styleId="72">
    <w:name w:val="款 Char Char"/>
    <w:link w:val="73"/>
    <w:qFormat/>
    <w:uiPriority w:val="0"/>
    <w:rPr>
      <w:rFonts w:ascii="Times New Roman" w:hAnsi="Times New Roman" w:eastAsia="黑体" w:cs="宋体"/>
      <w:color w:val="000000"/>
    </w:rPr>
  </w:style>
  <w:style w:type="paragraph" w:customStyle="1" w:styleId="73">
    <w:name w:val="款 Char"/>
    <w:basedOn w:val="1"/>
    <w:link w:val="72"/>
    <w:qFormat/>
    <w:uiPriority w:val="0"/>
    <w:pPr>
      <w:spacing w:line="360" w:lineRule="auto"/>
      <w:ind w:firstLine="200" w:firstLineChars="200"/>
      <w:jc w:val="left"/>
    </w:pPr>
    <w:rPr>
      <w:rFonts w:eastAsia="黑体" w:cs="宋体"/>
      <w:color w:val="000000"/>
      <w:kern w:val="0"/>
      <w:sz w:val="20"/>
      <w:szCs w:val="20"/>
      <w:lang w:bidi="mn-Mong-CN"/>
    </w:rPr>
  </w:style>
  <w:style w:type="character" w:customStyle="1" w:styleId="74">
    <w:name w:val="正文文本 字符"/>
    <w:qFormat/>
    <w:uiPriority w:val="1"/>
    <w:rPr>
      <w:rFonts w:ascii="仿宋_GB2312" w:hAnsi="仿宋_GB2312" w:eastAsia="仿宋_GB2312"/>
      <w:kern w:val="0"/>
      <w:sz w:val="30"/>
      <w:szCs w:val="30"/>
      <w:lang w:eastAsia="en-US"/>
    </w:rPr>
  </w:style>
  <w:style w:type="paragraph" w:customStyle="1" w:styleId="75">
    <w:name w:val="Table Paragraph"/>
    <w:basedOn w:val="1"/>
    <w:qFormat/>
    <w:uiPriority w:val="1"/>
    <w:pPr>
      <w:jc w:val="left"/>
    </w:pPr>
    <w:rPr>
      <w:rFonts w:ascii="等线" w:hAnsi="等线" w:eastAsia="等线"/>
      <w:kern w:val="0"/>
      <w:sz w:val="22"/>
      <w:lang w:eastAsia="en-US"/>
    </w:rPr>
  </w:style>
  <w:style w:type="paragraph" w:customStyle="1" w:styleId="76">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77">
    <w:name w:val="TOC 标题1"/>
    <w:basedOn w:val="2"/>
    <w:next w:val="1"/>
    <w:unhideWhenUsed/>
    <w:qFormat/>
    <w:uiPriority w:val="39"/>
    <w:pPr>
      <w:widowControl/>
      <w:spacing w:before="240" w:after="0" w:line="259" w:lineRule="auto"/>
      <w:jc w:val="left"/>
      <w:outlineLvl w:val="9"/>
    </w:pPr>
    <w:rPr>
      <w:rFonts w:ascii="Calibri Light" w:hAnsi="Calibri Light" w:eastAsia="宋体" w:cs="Mongolian Baiti"/>
      <w:b w:val="0"/>
      <w:bCs w:val="0"/>
      <w:color w:val="2E75B5"/>
      <w:kern w:val="0"/>
      <w:sz w:val="32"/>
      <w:szCs w:val="32"/>
      <w:lang w:bidi="mn-Mong-CN"/>
    </w:rPr>
  </w:style>
  <w:style w:type="paragraph" w:customStyle="1" w:styleId="78">
    <w:name w:val="Char"/>
    <w:basedOn w:val="1"/>
    <w:qFormat/>
    <w:uiPriority w:val="0"/>
    <w:rPr>
      <w:szCs w:val="20"/>
      <w:lang w:bidi="mn-Mong-CN"/>
    </w:rPr>
  </w:style>
  <w:style w:type="paragraph" w:customStyle="1" w:styleId="79">
    <w:name w:val="Body text|1"/>
    <w:basedOn w:val="1"/>
    <w:qFormat/>
    <w:uiPriority w:val="0"/>
    <w:pPr>
      <w:spacing w:line="343" w:lineRule="auto"/>
      <w:ind w:firstLine="400"/>
    </w:pPr>
    <w:rPr>
      <w:rFonts w:ascii="宋体" w:hAnsi="宋体" w:cs="宋体"/>
      <w:sz w:val="20"/>
      <w:szCs w:val="20"/>
      <w:lang w:val="zh-TW" w:eastAsia="zh-TW" w:bidi="zh-TW"/>
    </w:rPr>
  </w:style>
  <w:style w:type="paragraph" w:customStyle="1" w:styleId="80">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81">
    <w:name w:val="标题 2 Char"/>
    <w:qFormat/>
    <w:uiPriority w:val="0"/>
    <w:rPr>
      <w:rFonts w:ascii="楷体_GB2312" w:hAnsi="Times New Roman" w:eastAsia="楷体_GB2312" w:cs="Times New Roman"/>
      <w:kern w:val="2"/>
      <w:sz w:val="32"/>
      <w:szCs w:val="32"/>
    </w:rPr>
  </w:style>
  <w:style w:type="paragraph" w:customStyle="1" w:styleId="82">
    <w:name w:val="_Style 76"/>
    <w:basedOn w:val="1"/>
    <w:next w:val="83"/>
    <w:qFormat/>
    <w:uiPriority w:val="34"/>
    <w:pPr>
      <w:ind w:firstLine="420" w:firstLineChars="200"/>
    </w:pPr>
    <w:rPr>
      <w:rFonts w:ascii="等线" w:hAnsi="等线" w:eastAsia="等线"/>
    </w:rPr>
  </w:style>
  <w:style w:type="paragraph" w:styleId="83">
    <w:name w:val="List Paragraph"/>
    <w:basedOn w:val="1"/>
    <w:qFormat/>
    <w:uiPriority w:val="99"/>
    <w:pPr>
      <w:ind w:firstLine="420" w:firstLineChars="200"/>
    </w:pPr>
  </w:style>
  <w:style w:type="paragraph" w:customStyle="1" w:styleId="84">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85">
    <w:name w:val="英文（标题下）"/>
    <w:basedOn w:val="1"/>
    <w:qFormat/>
    <w:uiPriority w:val="0"/>
    <w:pPr>
      <w:topLinePunct/>
      <w:adjustRightInd w:val="0"/>
      <w:snapToGrid w:val="0"/>
      <w:spacing w:before="60" w:line="480" w:lineRule="exact"/>
      <w:jc w:val="center"/>
    </w:pPr>
    <w:rPr>
      <w:rFonts w:eastAsia="黑体"/>
      <w:b/>
      <w:color w:val="000000"/>
      <w:kern w:val="0"/>
      <w:sz w:val="28"/>
      <w:szCs w:val="20"/>
    </w:rPr>
  </w:style>
  <w:style w:type="paragraph" w:customStyle="1" w:styleId="86">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87">
    <w:name w:val="Char1"/>
    <w:basedOn w:val="1"/>
    <w:qFormat/>
    <w:uiPriority w:val="0"/>
    <w:rPr>
      <w:szCs w:val="24"/>
    </w:rPr>
  </w:style>
  <w:style w:type="paragraph" w:customStyle="1" w:styleId="88">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89">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90">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91">
    <w:name w:val="标题 4 Char"/>
    <w:basedOn w:val="32"/>
    <w:link w:val="5"/>
    <w:qFormat/>
    <w:uiPriority w:val="0"/>
    <w:rPr>
      <w:rFonts w:asciiTheme="majorHAnsi" w:hAnsiTheme="majorHAnsi" w:eastAsiaTheme="majorEastAsia" w:cstheme="majorBidi"/>
      <w:b/>
      <w:bCs/>
      <w:kern w:val="2"/>
      <w:sz w:val="28"/>
      <w:szCs w:val="28"/>
    </w:rPr>
  </w:style>
  <w:style w:type="paragraph" w:customStyle="1" w:styleId="92">
    <w:name w:val="Char2"/>
    <w:basedOn w:val="1"/>
    <w:qFormat/>
    <w:uiPriority w:val="0"/>
    <w:rPr>
      <w:szCs w:val="24"/>
    </w:rPr>
  </w:style>
  <w:style w:type="paragraph" w:customStyle="1" w:styleId="93">
    <w:name w:val="Char3"/>
    <w:basedOn w:val="1"/>
    <w:qFormat/>
    <w:uiPriority w:val="0"/>
    <w:rPr>
      <w:szCs w:val="24"/>
    </w:rPr>
  </w:style>
  <w:style w:type="paragraph" w:customStyle="1" w:styleId="94">
    <w:name w:val="修订5"/>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3064</Words>
  <Characters>3295</Characters>
  <Lines>30</Lines>
  <Paragraphs>8</Paragraphs>
  <TotalTime>23</TotalTime>
  <ScaleCrop>false</ScaleCrop>
  <LinksUpToDate>false</LinksUpToDate>
  <CharactersWithSpaces>3356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2024-12-27T03:38:00Z</dcterms:created>
  <dc:creator>yuyu</dc:creator>
  <cp:lastModifiedBy>Friend</cp:lastModifiedBy>
  <cp:lastPrinted>2025-09-03T06:37:00Z</cp:lastPrinted>
  <dcterms:modified xsi:type="dcterms:W3CDTF">2025-09-08T02:17:41Z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07C3EBE8125D4CF0A44FA3194E042464_13</vt:lpwstr>
  </property>
  <property fmtid="{D5CDD505-2E9C-101B-9397-08002B2CF9AE}" pid="4" name="KSOTemplateDocerSaveRecord">
    <vt:lpwstr>eyJoZGlkIjoiNDk3ZDEyZDVkYmUwNTNmNjBjMmIxYmQxNzlhYTMxNTIiLCJ1c2VySWQiOiIzODYwMTY0MzUifQ==</vt:lpwstr>
  </property>
</Properties>
</file>